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5EFA" w:rsidRPr="00A73CA4" w:rsidRDefault="00A73CA4">
      <w:pPr>
        <w:pBdr>
          <w:top w:val="nil"/>
          <w:left w:val="nil"/>
          <w:bottom w:val="nil"/>
          <w:right w:val="nil"/>
          <w:between w:val="nil"/>
        </w:pBdr>
        <w:jc w:val="both"/>
        <w:rPr>
          <w:b/>
          <w:bCs/>
          <w:sz w:val="22"/>
          <w:szCs w:val="22"/>
        </w:rPr>
      </w:pPr>
      <w:bookmarkStart w:id="0" w:name="_heading=h.eh9azo7h9y5b" w:colFirst="0" w:colLast="0"/>
      <w:bookmarkEnd w:id="0"/>
      <w:r w:rsidRPr="00A73CA4">
        <w:rPr>
          <w:b/>
          <w:bCs/>
          <w:sz w:val="22"/>
          <w:szCs w:val="22"/>
        </w:rPr>
        <w:t xml:space="preserve">PROCEDURA </w:t>
      </w:r>
      <w:r w:rsidRPr="00A73CA4">
        <w:rPr>
          <w:b/>
          <w:bCs/>
          <w:sz w:val="22"/>
          <w:szCs w:val="22"/>
          <w:highlight w:val="white"/>
        </w:rPr>
        <w:t xml:space="preserve">NEGOZIATA PER L'ACQUISIZIONE DI </w:t>
      </w:r>
      <w:r w:rsidRPr="00A73CA4">
        <w:rPr>
          <w:b/>
          <w:bCs/>
          <w:sz w:val="22"/>
          <w:szCs w:val="22"/>
        </w:rPr>
        <w:t>UNA PIATTAFORMA PER DIAGNOSTICA MOLECOLARE, COMPRENSIVA DI SISTEMA DI REAL TIME PCR E SOFTWARE PER LO STUDIO DEI MARCATORI MONOGENICI IN ANALISI ROUTINARIA DI BASE, IN FABBISOGNO ALL’ U.O.C. DI ANATOMIA PATOLOGICA.</w:t>
      </w:r>
    </w:p>
    <w:p w:rsidR="00065EFA" w:rsidRPr="00A73CA4" w:rsidRDefault="00065EFA">
      <w:pPr>
        <w:pBdr>
          <w:top w:val="nil"/>
          <w:left w:val="nil"/>
          <w:bottom w:val="nil"/>
          <w:right w:val="nil"/>
          <w:between w:val="nil"/>
        </w:pBdr>
        <w:jc w:val="both"/>
        <w:rPr>
          <w:sz w:val="22"/>
          <w:szCs w:val="22"/>
          <w:highlight w:val="white"/>
        </w:rPr>
      </w:pPr>
    </w:p>
    <w:p w:rsidR="00065EFA" w:rsidRDefault="00A73CA4">
      <w:pPr>
        <w:pBdr>
          <w:top w:val="nil"/>
          <w:left w:val="nil"/>
          <w:bottom w:val="nil"/>
          <w:right w:val="nil"/>
          <w:between w:val="nil"/>
        </w:pBdr>
        <w:rPr>
          <w:color w:val="000000"/>
          <w:sz w:val="22"/>
          <w:szCs w:val="22"/>
          <w:highlight w:val="white"/>
        </w:rPr>
      </w:pPr>
      <w:r>
        <w:rPr>
          <w:color w:val="000000"/>
          <w:sz w:val="22"/>
          <w:szCs w:val="22"/>
          <w:highlight w:val="white"/>
        </w:rPr>
        <w:t xml:space="preserve">ID SINTEL: </w:t>
      </w:r>
      <w:r w:rsidR="005A32AC" w:rsidRPr="005924C0">
        <w:rPr>
          <w:b/>
          <w:color w:val="000000"/>
          <w:sz w:val="22"/>
          <w:szCs w:val="22"/>
          <w:highlight w:val="white"/>
        </w:rPr>
        <w:t>213313058</w:t>
      </w:r>
    </w:p>
    <w:p w:rsidR="00065EFA" w:rsidRDefault="00065EFA">
      <w:pPr>
        <w:widowControl w:val="0"/>
        <w:pBdr>
          <w:top w:val="nil"/>
          <w:left w:val="nil"/>
          <w:bottom w:val="nil"/>
          <w:right w:val="nil"/>
          <w:between w:val="nil"/>
        </w:pBdr>
        <w:jc w:val="both"/>
        <w:rPr>
          <w:rFonts w:ascii="Times" w:eastAsia="Times" w:hAnsi="Times" w:cs="Times"/>
          <w:color w:val="000000"/>
          <w:sz w:val="24"/>
          <w:szCs w:val="24"/>
          <w:highlight w:val="white"/>
        </w:rPr>
      </w:pPr>
    </w:p>
    <w:p w:rsidR="00065EFA" w:rsidRDefault="00A73CA4">
      <w:pPr>
        <w:widowControl w:val="0"/>
        <w:pBdr>
          <w:top w:val="nil"/>
          <w:left w:val="nil"/>
          <w:bottom w:val="nil"/>
          <w:right w:val="nil"/>
          <w:between w:val="nil"/>
        </w:pBdr>
        <w:jc w:val="both"/>
        <w:rPr>
          <w:rFonts w:ascii="Times" w:eastAsia="Times" w:hAnsi="Times" w:cs="Times"/>
          <w:color w:val="000000"/>
          <w:sz w:val="24"/>
          <w:szCs w:val="24"/>
          <w:highlight w:val="white"/>
        </w:rPr>
      </w:pPr>
      <w:proofErr w:type="gramStart"/>
      <w:r>
        <w:rPr>
          <w:rFonts w:ascii="Times" w:eastAsia="Times" w:hAnsi="Times" w:cs="Times"/>
          <w:color w:val="000000"/>
          <w:sz w:val="24"/>
          <w:szCs w:val="24"/>
          <w:highlight w:val="white"/>
        </w:rPr>
        <w:t>CIG :</w:t>
      </w:r>
      <w:proofErr w:type="gramEnd"/>
      <w:r>
        <w:rPr>
          <w:rFonts w:ascii="Times" w:eastAsia="Times" w:hAnsi="Times" w:cs="Times"/>
          <w:color w:val="000000"/>
          <w:sz w:val="24"/>
          <w:szCs w:val="24"/>
          <w:highlight w:val="white"/>
        </w:rPr>
        <w:t xml:space="preserve"> </w:t>
      </w:r>
      <w:r w:rsidR="00DD2CEA">
        <w:rPr>
          <w:rFonts w:ascii="Tahoma" w:hAnsi="Tahoma" w:cs="Tahoma"/>
          <w:color w:val="19191A"/>
          <w:sz w:val="21"/>
          <w:szCs w:val="21"/>
          <w:shd w:val="clear" w:color="auto" w:fill="FFFFFF"/>
        </w:rPr>
        <w:t>BA1DE87935</w:t>
      </w:r>
    </w:p>
    <w:p w:rsidR="00065EFA" w:rsidRDefault="00065EFA">
      <w:pPr>
        <w:widowControl w:val="0"/>
        <w:pBdr>
          <w:top w:val="nil"/>
          <w:left w:val="nil"/>
          <w:bottom w:val="nil"/>
          <w:right w:val="nil"/>
          <w:between w:val="nil"/>
        </w:pBdr>
        <w:jc w:val="both"/>
        <w:rPr>
          <w:rFonts w:ascii="Times" w:eastAsia="Times" w:hAnsi="Times" w:cs="Times"/>
          <w:color w:val="000000"/>
          <w:sz w:val="24"/>
          <w:szCs w:val="24"/>
          <w:highlight w:val="white"/>
        </w:rPr>
      </w:pPr>
      <w:bookmarkStart w:id="1" w:name="_GoBack"/>
      <w:bookmarkEnd w:id="1"/>
    </w:p>
    <w:p w:rsidR="00065EFA" w:rsidRDefault="00A73CA4">
      <w:pPr>
        <w:widowControl w:val="0"/>
        <w:pBdr>
          <w:top w:val="nil"/>
          <w:left w:val="nil"/>
          <w:bottom w:val="nil"/>
          <w:right w:val="nil"/>
          <w:between w:val="nil"/>
        </w:pBdr>
        <w:jc w:val="both"/>
        <w:rPr>
          <w:color w:val="000000"/>
          <w:sz w:val="22"/>
          <w:szCs w:val="22"/>
          <w:highlight w:val="white"/>
          <w:u w:val="single"/>
        </w:rPr>
      </w:pPr>
      <w:r>
        <w:rPr>
          <w:rFonts w:ascii="Times" w:eastAsia="Times" w:hAnsi="Times" w:cs="Times"/>
          <w:color w:val="000000"/>
          <w:sz w:val="24"/>
          <w:szCs w:val="24"/>
          <w:highlight w:val="white"/>
        </w:rPr>
        <w:t xml:space="preserve">Termine ultimo per la presentazione delle offerte: </w:t>
      </w:r>
      <w:r w:rsidR="00D54EE1">
        <w:rPr>
          <w:rFonts w:ascii="Times" w:eastAsia="Times" w:hAnsi="Times" w:cs="Times"/>
          <w:b/>
          <w:bCs/>
          <w:color w:val="000000"/>
          <w:sz w:val="24"/>
          <w:szCs w:val="24"/>
          <w:highlight w:val="white"/>
        </w:rPr>
        <w:t>ore 14.00 del 18/2/2026.</w:t>
      </w:r>
    </w:p>
    <w:p w:rsidR="00065EFA" w:rsidRDefault="00065EFA">
      <w:pPr>
        <w:widowControl w:val="0"/>
        <w:pBdr>
          <w:top w:val="nil"/>
          <w:left w:val="nil"/>
          <w:bottom w:val="nil"/>
          <w:right w:val="nil"/>
          <w:between w:val="nil"/>
        </w:pBdr>
        <w:jc w:val="both"/>
        <w:rPr>
          <w:color w:val="000000"/>
          <w:sz w:val="22"/>
          <w:szCs w:val="22"/>
          <w:highlight w:val="white"/>
          <w:u w:val="single"/>
        </w:rPr>
      </w:pPr>
    </w:p>
    <w:p w:rsidR="00065EFA" w:rsidRDefault="00A73CA4">
      <w:pPr>
        <w:widowControl w:val="0"/>
        <w:pBdr>
          <w:top w:val="nil"/>
          <w:left w:val="nil"/>
          <w:bottom w:val="nil"/>
          <w:right w:val="nil"/>
          <w:between w:val="nil"/>
        </w:pBdr>
        <w:rPr>
          <w:color w:val="000000"/>
          <w:sz w:val="22"/>
          <w:szCs w:val="22"/>
          <w:highlight w:val="white"/>
        </w:rPr>
      </w:pPr>
      <w:r>
        <w:rPr>
          <w:b/>
          <w:bCs/>
          <w:color w:val="000000"/>
          <w:sz w:val="22"/>
          <w:szCs w:val="22"/>
          <w:highlight w:val="white"/>
        </w:rPr>
        <w:t>PREMESSE: OBIETTIVI E FINALITA’</w:t>
      </w:r>
    </w:p>
    <w:p w:rsidR="00065EFA" w:rsidRDefault="00065EFA">
      <w:pPr>
        <w:pBdr>
          <w:top w:val="nil"/>
          <w:left w:val="nil"/>
          <w:bottom w:val="nil"/>
          <w:right w:val="nil"/>
          <w:between w:val="nil"/>
        </w:pBdr>
        <w:rPr>
          <w:color w:val="000000"/>
          <w:sz w:val="24"/>
          <w:szCs w:val="24"/>
          <w:highlight w:val="white"/>
        </w:rPr>
      </w:pPr>
    </w:p>
    <w:p w:rsidR="00065EFA" w:rsidRPr="00A73CA4" w:rsidRDefault="00A73CA4">
      <w:pPr>
        <w:pBdr>
          <w:top w:val="nil"/>
          <w:left w:val="nil"/>
          <w:bottom w:val="nil"/>
          <w:right w:val="nil"/>
          <w:between w:val="nil"/>
        </w:pBdr>
        <w:jc w:val="both"/>
        <w:rPr>
          <w:sz w:val="22"/>
          <w:szCs w:val="22"/>
          <w:highlight w:val="white"/>
        </w:rPr>
      </w:pPr>
      <w:bookmarkStart w:id="2" w:name="_heading=h.l7n2lxufw52v" w:colFirst="0" w:colLast="0"/>
      <w:bookmarkEnd w:id="2"/>
      <w:r>
        <w:rPr>
          <w:color w:val="000000"/>
          <w:sz w:val="22"/>
          <w:szCs w:val="22"/>
          <w:highlight w:val="white"/>
        </w:rPr>
        <w:t xml:space="preserve">L’Azienda U.L.SS. n.8 </w:t>
      </w:r>
      <w:proofErr w:type="spellStart"/>
      <w:r>
        <w:rPr>
          <w:color w:val="000000"/>
          <w:sz w:val="22"/>
          <w:szCs w:val="22"/>
          <w:highlight w:val="white"/>
        </w:rPr>
        <w:t>Berica</w:t>
      </w:r>
      <w:proofErr w:type="spellEnd"/>
      <w:r>
        <w:rPr>
          <w:color w:val="000000"/>
          <w:sz w:val="22"/>
          <w:szCs w:val="22"/>
          <w:highlight w:val="white"/>
        </w:rPr>
        <w:t>, intende affidare, ai sensi dell’art. 50 comma 1 lett. e) del D. Lgs. 36/</w:t>
      </w:r>
      <w:proofErr w:type="gramStart"/>
      <w:r>
        <w:rPr>
          <w:color w:val="000000"/>
          <w:sz w:val="22"/>
          <w:szCs w:val="22"/>
          <w:highlight w:val="white"/>
        </w:rPr>
        <w:t xml:space="preserve">2023 </w:t>
      </w:r>
      <w:r>
        <w:rPr>
          <w:b/>
          <w:bCs/>
          <w:color w:val="000000"/>
          <w:sz w:val="22"/>
          <w:szCs w:val="22"/>
          <w:highlight w:val="white"/>
        </w:rPr>
        <w:t xml:space="preserve"> </w:t>
      </w:r>
      <w:r>
        <w:rPr>
          <w:color w:val="000000"/>
          <w:sz w:val="22"/>
          <w:szCs w:val="22"/>
          <w:highlight w:val="white"/>
        </w:rPr>
        <w:t>la</w:t>
      </w:r>
      <w:proofErr w:type="gramEnd"/>
      <w:r>
        <w:rPr>
          <w:color w:val="000000"/>
          <w:sz w:val="22"/>
          <w:szCs w:val="22"/>
          <w:highlight w:val="white"/>
        </w:rPr>
        <w:t xml:space="preserve"> fornitura di </w:t>
      </w:r>
      <w:r>
        <w:rPr>
          <w:sz w:val="22"/>
          <w:szCs w:val="22"/>
        </w:rPr>
        <w:t xml:space="preserve">una piattaforma per </w:t>
      </w:r>
      <w:r w:rsidRPr="00A73CA4">
        <w:rPr>
          <w:sz w:val="22"/>
          <w:szCs w:val="22"/>
        </w:rPr>
        <w:t xml:space="preserve">diagnostica molecolare, comprensiva di sistema di </w:t>
      </w:r>
      <w:proofErr w:type="spellStart"/>
      <w:r w:rsidRPr="00A73CA4">
        <w:rPr>
          <w:sz w:val="22"/>
          <w:szCs w:val="22"/>
        </w:rPr>
        <w:t>real</w:t>
      </w:r>
      <w:proofErr w:type="spellEnd"/>
      <w:r w:rsidRPr="00A73CA4">
        <w:rPr>
          <w:sz w:val="22"/>
          <w:szCs w:val="22"/>
        </w:rPr>
        <w:t xml:space="preserve"> time PCR e software per lo studio dei marcatori monogenici in analisi routinaria di base, in fabbisogno all’U.O.C. di Anatomia Patologica, </w:t>
      </w:r>
      <w:r w:rsidRPr="00A73CA4">
        <w:rPr>
          <w:sz w:val="22"/>
          <w:szCs w:val="22"/>
          <w:highlight w:val="white"/>
        </w:rPr>
        <w:t>le cui caratteristiche tecniche sono dettagliate all’articolo 1.</w:t>
      </w:r>
    </w:p>
    <w:p w:rsidR="00065EFA" w:rsidRPr="00A73CA4" w:rsidRDefault="00065EFA">
      <w:pPr>
        <w:pBdr>
          <w:top w:val="nil"/>
          <w:left w:val="nil"/>
          <w:bottom w:val="nil"/>
          <w:right w:val="nil"/>
          <w:between w:val="nil"/>
        </w:pBdr>
        <w:jc w:val="both"/>
        <w:rPr>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L’affidamento avviene mediante procedura negoziata telematica ai sensi dell’art. 50 comma 1 lettera e) del </w:t>
      </w:r>
      <w:proofErr w:type="spellStart"/>
      <w:r>
        <w:rPr>
          <w:color w:val="000000"/>
          <w:sz w:val="22"/>
          <w:szCs w:val="22"/>
        </w:rPr>
        <w:t>D.Lgs.</w:t>
      </w:r>
      <w:proofErr w:type="spellEnd"/>
      <w:r>
        <w:rPr>
          <w:color w:val="000000"/>
          <w:sz w:val="22"/>
          <w:szCs w:val="22"/>
        </w:rPr>
        <w:t xml:space="preserve"> 36/2023, con applicazione del criterio dell’offerta economicamente più vantaggiosa individuata sulla base del miglior rapporto qualità prezzo, ai sensi dell’art. 108 del Codice.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Ai sensi dell’articolo 62 del Codice, la presente procedura si svolgerà, attraverso l’utilizzazione di un sistema telematico di proprietà di ARIA SPA, l’Azienda Regionale per l’innovazione e gli Acquisti della Regione Lombardia, denominato “</w:t>
      </w:r>
      <w:proofErr w:type="spellStart"/>
      <w:r>
        <w:rPr>
          <w:color w:val="000000"/>
          <w:sz w:val="22"/>
          <w:szCs w:val="22"/>
        </w:rPr>
        <w:t>SinTel</w:t>
      </w:r>
      <w:proofErr w:type="spellEnd"/>
      <w:r>
        <w:rPr>
          <w:color w:val="000000"/>
          <w:sz w:val="22"/>
          <w:szCs w:val="22"/>
        </w:rPr>
        <w:t xml:space="preserve">” (di seguito per brevità anche solo Sistema e/o </w:t>
      </w:r>
      <w:proofErr w:type="spellStart"/>
      <w:r>
        <w:rPr>
          <w:color w:val="000000"/>
          <w:sz w:val="22"/>
          <w:szCs w:val="22"/>
        </w:rPr>
        <w:t>SinTel</w:t>
      </w:r>
      <w:proofErr w:type="spellEnd"/>
      <w:r>
        <w:rPr>
          <w:color w:val="000000"/>
          <w:sz w:val="22"/>
          <w:szCs w:val="22"/>
        </w:rPr>
        <w:t xml:space="preserve"> e/o Piattaforma), mediante il quale verranno gestite le fasi di pubblicazione della procedura, di presentazione, analisi, valutazione ed aggiudicazione dell’offerta, oltre che le comunicazioni e gli scambi di informazioni.</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Si invitano, pertanto, gli operatori economici interessati a presentare la documentazione appositamente richiesta tramite la piattaforma SINTEL, rispondendo alla specifica procedura entro il termine indicato nella procedura SINTEL.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La documentazione ufficiale di gara è disponibile all’interno della piattaforma telematica e pubblicata in forma ufficiale sul profilo del committente www.aulss8.veneto.it nella sezione BANDI E GARE.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L’operatore Economico che risponde al presente avviso dovrà non trovarsi nelle condizioni di esclusione di cui agli artt. 94 e 95 del D.lgs. n. 36/2023 ed essere in possesso del requisito professionale (iscrizione C.C.I.A.A. per l’attività oggetto della procedura) ai sensi del comma 1 lettera a) e comma 3 dell'art. 100 del D.lgs. n.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L’Azienda si riserva, a proprio insindacabile giudizio, la facoltà di non procedere all’affidamento, nel caso in cui non ritenga meritevole di approvazione e/o conveniente sotto il profilo tecnico-economico e/o organizzativo le offerte presentate, ai sensi dell’art. 107 comma 2 D.lgs. 36/2023 e dell’art. 108 comma 10 del D.lgs. 36/2023.</w:t>
      </w:r>
    </w:p>
    <w:p w:rsidR="00065EFA" w:rsidRDefault="00065EFA">
      <w:pPr>
        <w:pBdr>
          <w:top w:val="nil"/>
          <w:left w:val="nil"/>
          <w:bottom w:val="nil"/>
          <w:right w:val="nil"/>
          <w:between w:val="nil"/>
        </w:pBdr>
        <w:jc w:val="both"/>
        <w:rPr>
          <w:color w:val="000000"/>
          <w:sz w:val="22"/>
          <w:szCs w:val="22"/>
        </w:rPr>
      </w:pPr>
    </w:p>
    <w:p w:rsidR="00065EFA" w:rsidRDefault="00065EFA">
      <w:pPr>
        <w:pBdr>
          <w:top w:val="nil"/>
          <w:left w:val="nil"/>
          <w:bottom w:val="nil"/>
          <w:right w:val="nil"/>
          <w:between w:val="nil"/>
        </w:pBdr>
        <w:jc w:val="both"/>
        <w:rPr>
          <w:color w:val="000000"/>
          <w:sz w:val="22"/>
          <w:szCs w:val="22"/>
        </w:rPr>
      </w:pPr>
    </w:p>
    <w:p w:rsidR="00065EFA" w:rsidRDefault="00065EFA">
      <w:pPr>
        <w:pBdr>
          <w:top w:val="nil"/>
          <w:left w:val="nil"/>
          <w:bottom w:val="nil"/>
          <w:right w:val="nil"/>
          <w:between w:val="nil"/>
        </w:pBdr>
        <w:jc w:val="both"/>
        <w:rPr>
          <w:color w:val="000000"/>
          <w:sz w:val="22"/>
          <w:szCs w:val="22"/>
        </w:rPr>
      </w:pPr>
    </w:p>
    <w:p w:rsidR="00065EFA" w:rsidRDefault="00065EFA">
      <w:pPr>
        <w:pBdr>
          <w:top w:val="nil"/>
          <w:left w:val="nil"/>
          <w:bottom w:val="nil"/>
          <w:right w:val="nil"/>
          <w:between w:val="nil"/>
        </w:pBdr>
        <w:jc w:val="both"/>
        <w:rPr>
          <w:color w:val="000000"/>
          <w:sz w:val="22"/>
          <w:szCs w:val="22"/>
        </w:rPr>
      </w:pPr>
    </w:p>
    <w:p w:rsidR="00065EFA" w:rsidRDefault="00065EFA">
      <w:pPr>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ind w:left="425"/>
        <w:jc w:val="both"/>
        <w:rPr>
          <w:color w:val="000000"/>
          <w:sz w:val="22"/>
          <w:szCs w:val="22"/>
        </w:rPr>
      </w:pPr>
      <w:r>
        <w:rPr>
          <w:b/>
          <w:bCs/>
          <w:color w:val="000000"/>
          <w:sz w:val="22"/>
          <w:szCs w:val="22"/>
        </w:rPr>
        <w:lastRenderedPageBreak/>
        <w:t>ART. 1 OGGETTO</w:t>
      </w:r>
    </w:p>
    <w:p w:rsidR="00065EFA" w:rsidRDefault="00065EFA">
      <w:pPr>
        <w:widowControl w:val="0"/>
        <w:pBdr>
          <w:top w:val="nil"/>
          <w:left w:val="nil"/>
          <w:bottom w:val="nil"/>
          <w:right w:val="nil"/>
          <w:between w:val="nil"/>
        </w:pBdr>
        <w:rPr>
          <w:color w:val="000000"/>
          <w:sz w:val="22"/>
          <w:szCs w:val="22"/>
        </w:rPr>
      </w:pPr>
    </w:p>
    <w:p w:rsidR="00065EFA" w:rsidRDefault="00A73CA4">
      <w:pPr>
        <w:jc w:val="both"/>
        <w:rPr>
          <w:sz w:val="22"/>
          <w:szCs w:val="22"/>
        </w:rPr>
      </w:pPr>
      <w:r>
        <w:rPr>
          <w:sz w:val="22"/>
          <w:szCs w:val="22"/>
        </w:rPr>
        <w:t xml:space="preserve">Si richiede l’acquisizione di un sistema composto da Real Time PCR e kit CE-IVD dedicati per eseguire test molecolari monogenici dei marcatori riportati in tabella. </w:t>
      </w:r>
    </w:p>
    <w:p w:rsidR="00065EFA" w:rsidRDefault="00065EFA">
      <w:pPr>
        <w:rPr>
          <w:sz w:val="22"/>
          <w:szCs w:val="22"/>
        </w:rPr>
      </w:pPr>
    </w:p>
    <w:p w:rsidR="00065EFA" w:rsidRDefault="00A73CA4">
      <w:pPr>
        <w:jc w:val="both"/>
        <w:rPr>
          <w:sz w:val="22"/>
          <w:szCs w:val="22"/>
        </w:rPr>
      </w:pPr>
      <w:r>
        <w:rPr>
          <w:sz w:val="22"/>
          <w:szCs w:val="22"/>
        </w:rPr>
        <w:t>L’intera piattaforma dovrà essere composta da strumentazione CE-IVD:</w:t>
      </w:r>
    </w:p>
    <w:p w:rsidR="00065EFA" w:rsidRDefault="00A73CA4">
      <w:pPr>
        <w:numPr>
          <w:ilvl w:val="0"/>
          <w:numId w:val="19"/>
        </w:numPr>
        <w:pBdr>
          <w:top w:val="nil"/>
          <w:left w:val="nil"/>
          <w:bottom w:val="nil"/>
          <w:right w:val="nil"/>
          <w:between w:val="nil"/>
        </w:pBdr>
        <w:jc w:val="both"/>
        <w:rPr>
          <w:sz w:val="22"/>
          <w:szCs w:val="22"/>
        </w:rPr>
      </w:pPr>
      <w:r>
        <w:rPr>
          <w:color w:val="000000"/>
          <w:sz w:val="22"/>
          <w:szCs w:val="22"/>
        </w:rPr>
        <w:t>1 Strumento di real-time PCR di nuova generazione completa di strumentazione accessoria e software di analisi.</w:t>
      </w:r>
    </w:p>
    <w:p w:rsidR="00065EFA" w:rsidRDefault="00065EFA">
      <w:pPr>
        <w:ind w:left="360"/>
        <w:jc w:val="both"/>
        <w:rPr>
          <w:sz w:val="22"/>
          <w:szCs w:val="22"/>
        </w:rPr>
      </w:pPr>
    </w:p>
    <w:p w:rsidR="00065EFA" w:rsidRDefault="00A73CA4">
      <w:pPr>
        <w:jc w:val="both"/>
        <w:rPr>
          <w:b/>
          <w:bCs/>
          <w:sz w:val="22"/>
          <w:szCs w:val="22"/>
        </w:rPr>
      </w:pPr>
      <w:r>
        <w:rPr>
          <w:b/>
          <w:bCs/>
          <w:sz w:val="22"/>
          <w:szCs w:val="22"/>
        </w:rPr>
        <w:t>Requisiti minimi</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Strumento di amplificazione PCR real-time di ultima generazione CE-IVDR</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Strumentazione aperta, che consenta l’utilizzo di kit prodotti anche da altri operatori economici</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Strumento compatto, che non richieda di essere interfacciato con PC o monitor esterni</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Lo strumento deve essere in grado di rivelare almeno quattro fluorofo</w:t>
      </w:r>
      <w:r>
        <w:rPr>
          <w:color w:val="000000"/>
          <w:sz w:val="22"/>
          <w:szCs w:val="22"/>
          <w:highlight w:val="white"/>
        </w:rPr>
        <w:t>ri,</w:t>
      </w:r>
      <w:r>
        <w:rPr>
          <w:color w:val="000000"/>
          <w:sz w:val="22"/>
          <w:szCs w:val="22"/>
        </w:rPr>
        <w:t xml:space="preserve"> permettendo quindi di analizzare più parametri contemporaneamente</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Reagenti marchiati CE-IVD</w:t>
      </w:r>
    </w:p>
    <w:p w:rsidR="00065EFA" w:rsidRDefault="00A73CA4">
      <w:pPr>
        <w:numPr>
          <w:ilvl w:val="0"/>
          <w:numId w:val="20"/>
        </w:numPr>
        <w:pBdr>
          <w:top w:val="nil"/>
          <w:left w:val="nil"/>
          <w:bottom w:val="nil"/>
          <w:right w:val="nil"/>
          <w:between w:val="nil"/>
        </w:pBdr>
        <w:jc w:val="both"/>
        <w:rPr>
          <w:sz w:val="22"/>
          <w:szCs w:val="22"/>
        </w:rPr>
      </w:pPr>
      <w:r>
        <w:rPr>
          <w:color w:val="000000"/>
          <w:sz w:val="22"/>
          <w:szCs w:val="22"/>
        </w:rPr>
        <w:t>Software di analisi del dato in locale CE-IVDR</w:t>
      </w:r>
    </w:p>
    <w:p w:rsidR="00065EFA" w:rsidRDefault="00065EFA">
      <w:pPr>
        <w:jc w:val="both"/>
        <w:rPr>
          <w:sz w:val="22"/>
          <w:szCs w:val="22"/>
        </w:rPr>
      </w:pPr>
    </w:p>
    <w:p w:rsidR="00065EFA" w:rsidRDefault="00A73CA4">
      <w:pPr>
        <w:jc w:val="both"/>
        <w:rPr>
          <w:sz w:val="22"/>
          <w:szCs w:val="22"/>
        </w:rPr>
      </w:pPr>
      <w:bookmarkStart w:id="3" w:name="_heading=h.gjdgxs" w:colFirst="0" w:colLast="0"/>
      <w:bookmarkEnd w:id="3"/>
      <w:r>
        <w:rPr>
          <w:sz w:val="22"/>
          <w:szCs w:val="22"/>
        </w:rPr>
        <w:t>Il fabbisogno ANNUO presunto è il seguente:</w:t>
      </w:r>
    </w:p>
    <w:p w:rsidR="00065EFA" w:rsidRDefault="00065EFA">
      <w:pPr>
        <w:jc w:val="both"/>
      </w:pPr>
    </w:p>
    <w:tbl>
      <w:tblPr>
        <w:tblStyle w:val="a5"/>
        <w:tblW w:w="961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4"/>
        <w:gridCol w:w="4588"/>
        <w:gridCol w:w="1820"/>
      </w:tblGrid>
      <w:tr w:rsidR="00065EFA">
        <w:tc>
          <w:tcPr>
            <w:tcW w:w="3204" w:type="dxa"/>
          </w:tcPr>
          <w:p w:rsidR="00065EFA" w:rsidRDefault="00A73CA4">
            <w:pPr>
              <w:jc w:val="both"/>
            </w:pPr>
            <w:r>
              <w:t>MARCATORE</w:t>
            </w:r>
          </w:p>
        </w:tc>
        <w:tc>
          <w:tcPr>
            <w:tcW w:w="4588" w:type="dxa"/>
          </w:tcPr>
          <w:p w:rsidR="00065EFA" w:rsidRDefault="00A73CA4">
            <w:pPr>
              <w:jc w:val="both"/>
            </w:pPr>
            <w:r>
              <w:t>CARATTERISTICHE MINIME</w:t>
            </w:r>
          </w:p>
        </w:tc>
        <w:tc>
          <w:tcPr>
            <w:tcW w:w="1820" w:type="dxa"/>
          </w:tcPr>
          <w:p w:rsidR="00065EFA" w:rsidRDefault="00A73CA4">
            <w:pPr>
              <w:jc w:val="center"/>
            </w:pPr>
            <w:r>
              <w:t>FABBISOGNO PRESUNTO ANNUALE (TEST)</w:t>
            </w:r>
          </w:p>
        </w:tc>
      </w:tr>
      <w:tr w:rsidR="00065EFA">
        <w:tc>
          <w:tcPr>
            <w:tcW w:w="3204" w:type="dxa"/>
          </w:tcPr>
          <w:p w:rsidR="00065EFA" w:rsidRDefault="00A73CA4">
            <w:pPr>
              <w:jc w:val="both"/>
            </w:pPr>
            <w:r>
              <w:t>KRAS</w:t>
            </w:r>
          </w:p>
        </w:tc>
        <w:tc>
          <w:tcPr>
            <w:tcW w:w="4588" w:type="dxa"/>
          </w:tcPr>
          <w:p w:rsidR="00065EFA" w:rsidRDefault="00A73CA4">
            <w:pPr>
              <w:jc w:val="both"/>
            </w:pPr>
            <w:r>
              <w:t>Analisi delle principali mutazioni sui codoni 12,13,59,61,117,146</w:t>
            </w:r>
          </w:p>
        </w:tc>
        <w:tc>
          <w:tcPr>
            <w:tcW w:w="1820" w:type="dxa"/>
          </w:tcPr>
          <w:p w:rsidR="00065EFA" w:rsidRDefault="00A73CA4">
            <w:pPr>
              <w:jc w:val="center"/>
            </w:pPr>
            <w:r>
              <w:t>336</w:t>
            </w:r>
          </w:p>
          <w:p w:rsidR="00065EFA" w:rsidRDefault="00065EFA">
            <w:pPr>
              <w:jc w:val="center"/>
            </w:pPr>
          </w:p>
        </w:tc>
      </w:tr>
      <w:tr w:rsidR="00065EFA">
        <w:tc>
          <w:tcPr>
            <w:tcW w:w="3204" w:type="dxa"/>
          </w:tcPr>
          <w:p w:rsidR="00065EFA" w:rsidRDefault="00A73CA4">
            <w:pPr>
              <w:jc w:val="both"/>
            </w:pPr>
            <w:r>
              <w:t>BRAF</w:t>
            </w:r>
          </w:p>
        </w:tc>
        <w:tc>
          <w:tcPr>
            <w:tcW w:w="4588" w:type="dxa"/>
          </w:tcPr>
          <w:p w:rsidR="00065EFA" w:rsidRDefault="00A73CA4">
            <w:pPr>
              <w:jc w:val="both"/>
            </w:pPr>
            <w:r>
              <w:t>Analisi delle principali mutazioni sul codone 600</w:t>
            </w:r>
          </w:p>
        </w:tc>
        <w:tc>
          <w:tcPr>
            <w:tcW w:w="1820" w:type="dxa"/>
          </w:tcPr>
          <w:p w:rsidR="00065EFA" w:rsidRDefault="00A73CA4">
            <w:pPr>
              <w:jc w:val="center"/>
            </w:pPr>
            <w:r>
              <w:t>432</w:t>
            </w:r>
          </w:p>
          <w:p w:rsidR="00065EFA" w:rsidRDefault="00065EFA">
            <w:pPr>
              <w:jc w:val="center"/>
            </w:pPr>
          </w:p>
        </w:tc>
      </w:tr>
      <w:tr w:rsidR="00065EFA">
        <w:tc>
          <w:tcPr>
            <w:tcW w:w="3204" w:type="dxa"/>
          </w:tcPr>
          <w:p w:rsidR="00065EFA" w:rsidRDefault="00A73CA4">
            <w:pPr>
              <w:jc w:val="both"/>
            </w:pPr>
            <w:r>
              <w:t>NRAS</w:t>
            </w:r>
          </w:p>
        </w:tc>
        <w:tc>
          <w:tcPr>
            <w:tcW w:w="4588" w:type="dxa"/>
          </w:tcPr>
          <w:p w:rsidR="00065EFA" w:rsidRDefault="00A73CA4">
            <w:pPr>
              <w:jc w:val="both"/>
            </w:pPr>
            <w:r>
              <w:t>Analisi delle principali mutazioni sui codoni 12,13,59,61,117,146</w:t>
            </w:r>
          </w:p>
        </w:tc>
        <w:tc>
          <w:tcPr>
            <w:tcW w:w="1820" w:type="dxa"/>
          </w:tcPr>
          <w:p w:rsidR="00065EFA" w:rsidRDefault="00A73CA4">
            <w:pPr>
              <w:jc w:val="center"/>
            </w:pPr>
            <w:r>
              <w:t>96</w:t>
            </w:r>
          </w:p>
          <w:p w:rsidR="00065EFA" w:rsidRDefault="00065EFA">
            <w:pPr>
              <w:jc w:val="center"/>
            </w:pPr>
          </w:p>
          <w:p w:rsidR="00065EFA" w:rsidRDefault="00065EFA">
            <w:pPr>
              <w:jc w:val="center"/>
            </w:pPr>
          </w:p>
        </w:tc>
      </w:tr>
      <w:tr w:rsidR="00065EFA">
        <w:tc>
          <w:tcPr>
            <w:tcW w:w="3204" w:type="dxa"/>
          </w:tcPr>
          <w:p w:rsidR="00065EFA" w:rsidRDefault="00A73CA4">
            <w:pPr>
              <w:jc w:val="both"/>
            </w:pPr>
            <w:r>
              <w:t>HRAS</w:t>
            </w:r>
          </w:p>
        </w:tc>
        <w:tc>
          <w:tcPr>
            <w:tcW w:w="4588" w:type="dxa"/>
          </w:tcPr>
          <w:p w:rsidR="00065EFA" w:rsidRDefault="00A73CA4">
            <w:pPr>
              <w:jc w:val="both"/>
            </w:pPr>
            <w:r>
              <w:t>Analisi delle principali mutazioni sui codoni 12,13,61</w:t>
            </w:r>
          </w:p>
        </w:tc>
        <w:tc>
          <w:tcPr>
            <w:tcW w:w="1820" w:type="dxa"/>
          </w:tcPr>
          <w:p w:rsidR="00065EFA" w:rsidRDefault="00A73CA4">
            <w:pPr>
              <w:jc w:val="center"/>
            </w:pPr>
            <w:r>
              <w:t>48</w:t>
            </w:r>
          </w:p>
          <w:p w:rsidR="00065EFA" w:rsidRDefault="00065EFA">
            <w:pPr>
              <w:jc w:val="center"/>
            </w:pPr>
          </w:p>
          <w:p w:rsidR="00065EFA" w:rsidRDefault="00065EFA">
            <w:pPr>
              <w:jc w:val="center"/>
            </w:pPr>
          </w:p>
        </w:tc>
      </w:tr>
      <w:tr w:rsidR="00065EFA">
        <w:tc>
          <w:tcPr>
            <w:tcW w:w="3204" w:type="dxa"/>
          </w:tcPr>
          <w:p w:rsidR="00065EFA" w:rsidRDefault="00A73CA4">
            <w:pPr>
              <w:jc w:val="both"/>
            </w:pPr>
            <w:r>
              <w:t>EGFR</w:t>
            </w:r>
          </w:p>
        </w:tc>
        <w:tc>
          <w:tcPr>
            <w:tcW w:w="4588" w:type="dxa"/>
          </w:tcPr>
          <w:p w:rsidR="00065EFA" w:rsidRDefault="00A73CA4">
            <w:pPr>
              <w:jc w:val="both"/>
            </w:pPr>
            <w:r>
              <w:t>Analisi delle principali mutazioni sui codoni 18,19,20,21</w:t>
            </w:r>
          </w:p>
        </w:tc>
        <w:tc>
          <w:tcPr>
            <w:tcW w:w="1820" w:type="dxa"/>
          </w:tcPr>
          <w:p w:rsidR="00065EFA" w:rsidRDefault="00A73CA4">
            <w:pPr>
              <w:jc w:val="center"/>
            </w:pPr>
            <w:r>
              <w:t>192</w:t>
            </w:r>
          </w:p>
          <w:p w:rsidR="00065EFA" w:rsidRDefault="00065EFA">
            <w:pPr>
              <w:jc w:val="center"/>
            </w:pPr>
          </w:p>
        </w:tc>
      </w:tr>
      <w:tr w:rsidR="00065EFA">
        <w:tc>
          <w:tcPr>
            <w:tcW w:w="3204" w:type="dxa"/>
          </w:tcPr>
          <w:p w:rsidR="00065EFA" w:rsidRDefault="00A73CA4">
            <w:pPr>
              <w:jc w:val="both"/>
            </w:pPr>
            <w:r>
              <w:t>FUSIONI POLMONARI</w:t>
            </w:r>
          </w:p>
        </w:tc>
        <w:tc>
          <w:tcPr>
            <w:tcW w:w="4588" w:type="dxa"/>
          </w:tcPr>
          <w:p w:rsidR="00065EFA" w:rsidRDefault="00A73CA4">
            <w:pPr>
              <w:jc w:val="both"/>
            </w:pPr>
            <w:r>
              <w:t xml:space="preserve">Analisi delle fusioni polmonari di ALK, ROS1, RET ed </w:t>
            </w:r>
            <w:proofErr w:type="spellStart"/>
            <w:r>
              <w:t>exon</w:t>
            </w:r>
            <w:proofErr w:type="spellEnd"/>
            <w:r>
              <w:t xml:space="preserve"> </w:t>
            </w:r>
            <w:proofErr w:type="spellStart"/>
            <w:r>
              <w:t>skipping</w:t>
            </w:r>
            <w:proofErr w:type="spellEnd"/>
            <w:r>
              <w:t xml:space="preserve"> esone 14 MET</w:t>
            </w:r>
          </w:p>
        </w:tc>
        <w:tc>
          <w:tcPr>
            <w:tcW w:w="1820" w:type="dxa"/>
          </w:tcPr>
          <w:p w:rsidR="00065EFA" w:rsidRDefault="00A73CA4">
            <w:pPr>
              <w:jc w:val="center"/>
            </w:pPr>
            <w:r>
              <w:t>48</w:t>
            </w:r>
          </w:p>
        </w:tc>
      </w:tr>
      <w:tr w:rsidR="00065EFA">
        <w:tc>
          <w:tcPr>
            <w:tcW w:w="3204" w:type="dxa"/>
          </w:tcPr>
          <w:p w:rsidR="00065EFA" w:rsidRDefault="00A73CA4">
            <w:pPr>
              <w:jc w:val="both"/>
            </w:pPr>
            <w:r>
              <w:t>IDH1-2</w:t>
            </w:r>
          </w:p>
        </w:tc>
        <w:tc>
          <w:tcPr>
            <w:tcW w:w="4588" w:type="dxa"/>
          </w:tcPr>
          <w:p w:rsidR="00065EFA" w:rsidRDefault="00A73CA4">
            <w:pPr>
              <w:jc w:val="both"/>
            </w:pPr>
            <w:r>
              <w:t xml:space="preserve">Analisi delle principali mutazioni </w:t>
            </w:r>
            <w:r>
              <w:rPr>
                <w:color w:val="000000"/>
              </w:rPr>
              <w:t>sui codoni 132 di IDH1 e 172 di IDH2</w:t>
            </w:r>
          </w:p>
        </w:tc>
        <w:tc>
          <w:tcPr>
            <w:tcW w:w="1820" w:type="dxa"/>
          </w:tcPr>
          <w:p w:rsidR="00065EFA" w:rsidRDefault="00A73CA4">
            <w:pPr>
              <w:jc w:val="center"/>
            </w:pPr>
            <w:r>
              <w:t>96</w:t>
            </w:r>
          </w:p>
        </w:tc>
      </w:tr>
      <w:tr w:rsidR="00065EFA">
        <w:tc>
          <w:tcPr>
            <w:tcW w:w="3204" w:type="dxa"/>
          </w:tcPr>
          <w:p w:rsidR="00065EFA" w:rsidRDefault="00A73CA4">
            <w:pPr>
              <w:jc w:val="both"/>
            </w:pPr>
            <w:r>
              <w:t>Stato di metilazione del promotore MGMT</w:t>
            </w:r>
          </w:p>
        </w:tc>
        <w:tc>
          <w:tcPr>
            <w:tcW w:w="4588" w:type="dxa"/>
          </w:tcPr>
          <w:p w:rsidR="00065EFA" w:rsidRDefault="00A73CA4">
            <w:pPr>
              <w:jc w:val="both"/>
            </w:pPr>
            <w:r>
              <w:t xml:space="preserve">Stato di metilazione di 12 isole </w:t>
            </w:r>
            <w:proofErr w:type="spellStart"/>
            <w:r>
              <w:t>CpG</w:t>
            </w:r>
            <w:proofErr w:type="spellEnd"/>
            <w:r>
              <w:t xml:space="preserve"> del promotore del gene MGMT</w:t>
            </w:r>
          </w:p>
        </w:tc>
        <w:tc>
          <w:tcPr>
            <w:tcW w:w="1820" w:type="dxa"/>
          </w:tcPr>
          <w:p w:rsidR="00065EFA" w:rsidRDefault="00A73CA4">
            <w:pPr>
              <w:jc w:val="center"/>
            </w:pPr>
            <w:r>
              <w:t>48</w:t>
            </w:r>
          </w:p>
        </w:tc>
      </w:tr>
      <w:tr w:rsidR="00065EFA">
        <w:tc>
          <w:tcPr>
            <w:tcW w:w="3204" w:type="dxa"/>
          </w:tcPr>
          <w:p w:rsidR="00065EFA" w:rsidRDefault="00A73CA4">
            <w:pPr>
              <w:jc w:val="both"/>
            </w:pPr>
            <w:r>
              <w:t>Stato di metilazione del promotore MLH1</w:t>
            </w:r>
          </w:p>
        </w:tc>
        <w:tc>
          <w:tcPr>
            <w:tcW w:w="4588" w:type="dxa"/>
          </w:tcPr>
          <w:p w:rsidR="00065EFA" w:rsidRDefault="00A73CA4">
            <w:pPr>
              <w:jc w:val="both"/>
            </w:pPr>
            <w:r>
              <w:t xml:space="preserve">Stato di metilazione di 5 isole </w:t>
            </w:r>
            <w:proofErr w:type="spellStart"/>
            <w:r>
              <w:t>CpG</w:t>
            </w:r>
            <w:proofErr w:type="spellEnd"/>
            <w:r>
              <w:t xml:space="preserve"> del promotore del gene MLH1</w:t>
            </w:r>
          </w:p>
        </w:tc>
        <w:tc>
          <w:tcPr>
            <w:tcW w:w="1820" w:type="dxa"/>
          </w:tcPr>
          <w:p w:rsidR="00065EFA" w:rsidRDefault="00A73CA4">
            <w:pPr>
              <w:jc w:val="center"/>
            </w:pPr>
            <w:r>
              <w:t>48</w:t>
            </w:r>
          </w:p>
        </w:tc>
      </w:tr>
    </w:tbl>
    <w:p w:rsidR="00065EFA" w:rsidRDefault="00065EFA">
      <w:pPr>
        <w:jc w:val="both"/>
      </w:pPr>
    </w:p>
    <w:p w:rsidR="00065EFA" w:rsidRDefault="00065EFA">
      <w:pPr>
        <w:jc w:val="both"/>
      </w:pPr>
    </w:p>
    <w:p w:rsidR="00065EFA" w:rsidRDefault="00A73CA4">
      <w:pPr>
        <w:shd w:val="clear" w:color="auto" w:fill="FFFFFF"/>
        <w:rPr>
          <w:color w:val="000000"/>
        </w:rPr>
      </w:pPr>
      <w:r>
        <w:rPr>
          <w:color w:val="000000"/>
        </w:rPr>
        <w:t>La stazione appaltante si riserva di effettuare i seguenti esami:</w:t>
      </w:r>
    </w:p>
    <w:p w:rsidR="00065EFA" w:rsidRDefault="00065EFA">
      <w:pPr>
        <w:shd w:val="clear" w:color="auto" w:fill="FFFFFF"/>
        <w:rPr>
          <w:color w:val="000000"/>
        </w:rPr>
      </w:pPr>
    </w:p>
    <w:tbl>
      <w:tblPr>
        <w:tblStyle w:val="a6"/>
        <w:tblW w:w="96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04"/>
        <w:gridCol w:w="6430"/>
      </w:tblGrid>
      <w:tr w:rsidR="00065EFA">
        <w:tc>
          <w:tcPr>
            <w:tcW w:w="3204" w:type="dxa"/>
          </w:tcPr>
          <w:p w:rsidR="00065EFA" w:rsidRDefault="00A73CA4">
            <w:pPr>
              <w:jc w:val="both"/>
            </w:pPr>
            <w:r>
              <w:t>MARCATORE</w:t>
            </w:r>
          </w:p>
        </w:tc>
        <w:tc>
          <w:tcPr>
            <w:tcW w:w="6430" w:type="dxa"/>
          </w:tcPr>
          <w:p w:rsidR="00065EFA" w:rsidRDefault="00A73CA4">
            <w:pPr>
              <w:jc w:val="both"/>
            </w:pPr>
            <w:r>
              <w:t>CARATTERISTICHE MINIME</w:t>
            </w:r>
          </w:p>
        </w:tc>
      </w:tr>
      <w:tr w:rsidR="00065EFA">
        <w:tc>
          <w:tcPr>
            <w:tcW w:w="3204" w:type="dxa"/>
          </w:tcPr>
          <w:p w:rsidR="00065EFA" w:rsidRDefault="00A73CA4">
            <w:pPr>
              <w:jc w:val="both"/>
            </w:pPr>
            <w:r>
              <w:t xml:space="preserve">EGFR </w:t>
            </w:r>
          </w:p>
        </w:tc>
        <w:tc>
          <w:tcPr>
            <w:tcW w:w="6430" w:type="dxa"/>
          </w:tcPr>
          <w:p w:rsidR="00065EFA" w:rsidRDefault="00A73CA4">
            <w:pPr>
              <w:jc w:val="both"/>
            </w:pPr>
            <w:r>
              <w:t xml:space="preserve">Analisi delle principali mutazioni di resistenza T790M e C797S (c.2389T&gt;A, c.2390 G&gt;C) </w:t>
            </w:r>
          </w:p>
        </w:tc>
      </w:tr>
      <w:tr w:rsidR="00065EFA">
        <w:tc>
          <w:tcPr>
            <w:tcW w:w="3204" w:type="dxa"/>
          </w:tcPr>
          <w:p w:rsidR="00065EFA" w:rsidRDefault="00A73CA4">
            <w:pPr>
              <w:jc w:val="both"/>
            </w:pPr>
            <w:r>
              <w:t>PIK3CA</w:t>
            </w:r>
          </w:p>
        </w:tc>
        <w:tc>
          <w:tcPr>
            <w:tcW w:w="6430" w:type="dxa"/>
          </w:tcPr>
          <w:p w:rsidR="00065EFA" w:rsidRDefault="00A73CA4">
            <w:pPr>
              <w:jc w:val="both"/>
            </w:pPr>
            <w:r>
              <w:t>Analisi delle principali mutazioni sui codoni 420, 542, 545, 546, 1047</w:t>
            </w:r>
          </w:p>
        </w:tc>
      </w:tr>
      <w:tr w:rsidR="00065EFA">
        <w:tc>
          <w:tcPr>
            <w:tcW w:w="3204" w:type="dxa"/>
          </w:tcPr>
          <w:p w:rsidR="00065EFA" w:rsidRDefault="00A73CA4">
            <w:pPr>
              <w:jc w:val="both"/>
            </w:pPr>
            <w:r>
              <w:t>Fusioni tiroide</w:t>
            </w:r>
          </w:p>
        </w:tc>
        <w:tc>
          <w:tcPr>
            <w:tcW w:w="6430" w:type="dxa"/>
          </w:tcPr>
          <w:p w:rsidR="00065EFA" w:rsidRDefault="00A73CA4">
            <w:pPr>
              <w:jc w:val="both"/>
            </w:pPr>
            <w:r>
              <w:t>Riarrangiamenti tiroide per i geni RET/PTC, PAX8/PPARG</w:t>
            </w:r>
          </w:p>
        </w:tc>
      </w:tr>
      <w:tr w:rsidR="00065EFA">
        <w:tc>
          <w:tcPr>
            <w:tcW w:w="3204" w:type="dxa"/>
          </w:tcPr>
          <w:p w:rsidR="00065EFA" w:rsidRDefault="00A73CA4">
            <w:pPr>
              <w:jc w:val="both"/>
            </w:pPr>
            <w:r>
              <w:t>Fusioni NTRK</w:t>
            </w:r>
          </w:p>
        </w:tc>
        <w:tc>
          <w:tcPr>
            <w:tcW w:w="6430" w:type="dxa"/>
          </w:tcPr>
          <w:p w:rsidR="00065EFA" w:rsidRDefault="00A73CA4">
            <w:pPr>
              <w:jc w:val="both"/>
            </w:pPr>
            <w:r>
              <w:t>Riarrangiamenti dei geni NTRK1, NTRK2, NTRK3</w:t>
            </w:r>
          </w:p>
        </w:tc>
      </w:tr>
    </w:tbl>
    <w:p w:rsidR="00065EFA" w:rsidRDefault="00065EFA">
      <w:pPr>
        <w:shd w:val="clear" w:color="auto" w:fill="FFFFFF"/>
        <w:rPr>
          <w:color w:val="000000"/>
        </w:rPr>
      </w:pPr>
    </w:p>
    <w:p w:rsidR="00065EFA" w:rsidRDefault="00A73CA4" w:rsidP="00EC217D">
      <w:pPr>
        <w:shd w:val="clear" w:color="auto" w:fill="FFFFFF"/>
        <w:jc w:val="both"/>
        <w:rPr>
          <w:color w:val="000000"/>
          <w:sz w:val="22"/>
          <w:szCs w:val="22"/>
        </w:rPr>
      </w:pPr>
      <w:r>
        <w:rPr>
          <w:color w:val="000000"/>
          <w:sz w:val="22"/>
          <w:szCs w:val="22"/>
        </w:rPr>
        <w:lastRenderedPageBreak/>
        <w:t>Per tali esami la ditta dovrà allegare all'offerta economica di gara il listino prezzi ufficiale in vigore, che dovrà ritenersi valido per tutta la durata della fornitura. La ditta avrà l'obbligo di fornire, se richiesto, detti prodotti, non individuati nella richiesta ma presenti nel catalogo e nel listino prezzi allegati. Si precisa che l’operatore economico aggiudicatario dovrà garantire la medesima percentuale di sconto</w:t>
      </w:r>
      <w:r w:rsidR="00E326C1">
        <w:rPr>
          <w:color w:val="000000"/>
          <w:sz w:val="22"/>
          <w:szCs w:val="22"/>
        </w:rPr>
        <w:t xml:space="preserve"> media ponderata rispetto ai singoli test offerti</w:t>
      </w:r>
      <w:r>
        <w:rPr>
          <w:color w:val="000000"/>
          <w:sz w:val="22"/>
          <w:szCs w:val="22"/>
        </w:rPr>
        <w:t>.</w:t>
      </w:r>
    </w:p>
    <w:p w:rsidR="00065EFA" w:rsidRDefault="00065EFA">
      <w:pPr>
        <w:jc w:val="both"/>
        <w:rPr>
          <w:sz w:val="22"/>
          <w:szCs w:val="22"/>
        </w:rPr>
      </w:pPr>
    </w:p>
    <w:p w:rsidR="00065EFA" w:rsidRDefault="00A73CA4">
      <w:pPr>
        <w:jc w:val="both"/>
        <w:rPr>
          <w:sz w:val="22"/>
          <w:szCs w:val="22"/>
        </w:rPr>
      </w:pPr>
      <w:r>
        <w:rPr>
          <w:sz w:val="22"/>
          <w:szCs w:val="22"/>
        </w:rPr>
        <w:t>Dovranno essere inoltre forniti da parte delle aziende partecipanti tutti i consumabili e reattivi accessori eventualmente necessari per eseguire le analisi dei marcatori richiesti.</w:t>
      </w:r>
    </w:p>
    <w:p w:rsidR="00065EFA" w:rsidRDefault="00065EFA">
      <w:bookmarkStart w:id="4" w:name="_heading=h.vqdy5c6lm74c" w:colFirst="0" w:colLast="0"/>
      <w:bookmarkEnd w:id="4"/>
    </w:p>
    <w:p w:rsidR="00065EFA" w:rsidRDefault="00A73CA4">
      <w:pPr>
        <w:pBdr>
          <w:top w:val="nil"/>
          <w:left w:val="nil"/>
          <w:bottom w:val="nil"/>
          <w:right w:val="nil"/>
          <w:between w:val="nil"/>
        </w:pBdr>
        <w:shd w:val="clear" w:color="auto" w:fill="FFFFFF"/>
        <w:jc w:val="both"/>
        <w:rPr>
          <w:color w:val="000000"/>
          <w:sz w:val="22"/>
          <w:szCs w:val="22"/>
        </w:rPr>
      </w:pPr>
      <w:r>
        <w:rPr>
          <w:color w:val="000000"/>
          <w:sz w:val="22"/>
          <w:szCs w:val="22"/>
        </w:rPr>
        <w:t>I prodotti oggetto della presente fornitura dovranno essere conformi alle norme vigenti in campo nazionale e comunitario per quanto attiene alle autorizzazioni alla produzione, alla importazione, all’immissione in commercio e all’uso, vigenti all’atto dell’offerta, nonché alle disposizioni vigenti all’atto della consegna ancorché emanate successivamente alla formulazione dell’offerta; nessun onere aggiuntivo potrà peraltro essere richiesto all’appaltante per quanto connesso a detto adeguamento.</w:t>
      </w:r>
    </w:p>
    <w:p w:rsidR="00065EFA" w:rsidRDefault="00A73CA4">
      <w:pPr>
        <w:pBdr>
          <w:top w:val="nil"/>
          <w:left w:val="nil"/>
          <w:bottom w:val="nil"/>
          <w:right w:val="nil"/>
          <w:between w:val="nil"/>
        </w:pBdr>
        <w:shd w:val="clear" w:color="auto" w:fill="FFFFFF"/>
        <w:jc w:val="both"/>
        <w:rPr>
          <w:color w:val="000000"/>
          <w:sz w:val="22"/>
          <w:szCs w:val="22"/>
        </w:rPr>
      </w:pPr>
      <w:r>
        <w:rPr>
          <w:color w:val="000000"/>
          <w:sz w:val="22"/>
          <w:szCs w:val="22"/>
        </w:rPr>
        <w:t> </w:t>
      </w:r>
    </w:p>
    <w:p w:rsidR="00065EFA" w:rsidRDefault="00A73CA4">
      <w:pPr>
        <w:pBdr>
          <w:top w:val="nil"/>
          <w:left w:val="nil"/>
          <w:bottom w:val="nil"/>
          <w:right w:val="nil"/>
          <w:between w:val="nil"/>
        </w:pBdr>
        <w:shd w:val="clear" w:color="auto" w:fill="FFFFFF"/>
        <w:jc w:val="both"/>
        <w:rPr>
          <w:color w:val="000000"/>
          <w:sz w:val="22"/>
          <w:szCs w:val="22"/>
        </w:rPr>
      </w:pPr>
      <w:r>
        <w:rPr>
          <w:color w:val="000000"/>
          <w:sz w:val="22"/>
          <w:szCs w:val="22"/>
        </w:rPr>
        <w:t xml:space="preserve">In particolare, i dispositivi medici oggetto della fornitura dovranno essere conformi ai requisiti e alle prescrizioni stabilite dal Regolamento UE 2017/745 (MDR) e dal Regolamento UE 2017/746 (IVDR) e </w:t>
      </w:r>
      <w:proofErr w:type="spellStart"/>
      <w:proofErr w:type="gramStart"/>
      <w:r>
        <w:rPr>
          <w:color w:val="000000"/>
          <w:sz w:val="22"/>
          <w:szCs w:val="22"/>
        </w:rPr>
        <w:t>ss.mm.ii</w:t>
      </w:r>
      <w:proofErr w:type="spellEnd"/>
      <w:proofErr w:type="gramEnd"/>
      <w:r>
        <w:rPr>
          <w:color w:val="000000"/>
          <w:sz w:val="22"/>
          <w:szCs w:val="22"/>
        </w:rPr>
        <w:t xml:space="preserve">, dal </w:t>
      </w:r>
      <w:proofErr w:type="spellStart"/>
      <w:r>
        <w:rPr>
          <w:color w:val="000000"/>
          <w:sz w:val="22"/>
          <w:szCs w:val="22"/>
        </w:rPr>
        <w:t>D.Lgs</w:t>
      </w:r>
      <w:proofErr w:type="spellEnd"/>
      <w:r>
        <w:rPr>
          <w:color w:val="000000"/>
          <w:sz w:val="22"/>
          <w:szCs w:val="22"/>
        </w:rPr>
        <w:t xml:space="preserve"> 137/2022 e dal D. Lgs. 138/2022 e </w:t>
      </w:r>
      <w:proofErr w:type="spellStart"/>
      <w:proofErr w:type="gramStart"/>
      <w:r>
        <w:rPr>
          <w:color w:val="000000"/>
          <w:sz w:val="22"/>
          <w:szCs w:val="22"/>
        </w:rPr>
        <w:t>ss.mm.ii</w:t>
      </w:r>
      <w:proofErr w:type="spellEnd"/>
      <w:r>
        <w:rPr>
          <w:color w:val="000000"/>
          <w:sz w:val="22"/>
          <w:szCs w:val="22"/>
        </w:rPr>
        <w:t>..</w:t>
      </w:r>
      <w:proofErr w:type="gramEnd"/>
    </w:p>
    <w:p w:rsidR="00065EFA" w:rsidRDefault="00A73CA4">
      <w:pPr>
        <w:pBdr>
          <w:top w:val="nil"/>
          <w:left w:val="nil"/>
          <w:bottom w:val="nil"/>
          <w:right w:val="nil"/>
          <w:between w:val="nil"/>
        </w:pBdr>
        <w:shd w:val="clear" w:color="auto" w:fill="FFFFFF"/>
        <w:jc w:val="both"/>
        <w:rPr>
          <w:color w:val="000000"/>
          <w:sz w:val="22"/>
          <w:szCs w:val="22"/>
        </w:rPr>
      </w:pPr>
      <w:r>
        <w:rPr>
          <w:color w:val="000000"/>
          <w:sz w:val="22"/>
          <w:szCs w:val="22"/>
        </w:rPr>
        <w:t xml:space="preserve">Se dispositivi medici, dovranno essere conformi a quanto previsto dal </w:t>
      </w:r>
      <w:proofErr w:type="spellStart"/>
      <w:r>
        <w:rPr>
          <w:color w:val="000000"/>
          <w:sz w:val="22"/>
          <w:szCs w:val="22"/>
        </w:rPr>
        <w:t>D.Lgs.</w:t>
      </w:r>
      <w:proofErr w:type="spellEnd"/>
      <w:r>
        <w:rPr>
          <w:color w:val="000000"/>
          <w:sz w:val="22"/>
          <w:szCs w:val="22"/>
        </w:rPr>
        <w:t xml:space="preserve"> 46/1997 (“Attuazione della direttiva 93/42/CEE, concernente i dispositivi medici") e </w:t>
      </w:r>
      <w:proofErr w:type="spellStart"/>
      <w:r>
        <w:rPr>
          <w:color w:val="000000"/>
          <w:sz w:val="22"/>
          <w:szCs w:val="22"/>
        </w:rPr>
        <w:t>ss.mm.ii</w:t>
      </w:r>
      <w:proofErr w:type="spellEnd"/>
      <w:r>
        <w:rPr>
          <w:color w:val="000000"/>
          <w:sz w:val="22"/>
          <w:szCs w:val="22"/>
        </w:rPr>
        <w:t>. e se dispositivi medico-diagnostici in vitro, dovranno essere conformi a quanto previsto dal D. Lgs. 332/2000 ("Attuazione della direttiva 98/79/CE, concernente ai dispositivi medico-diagnostici in vitro”), per le parti ancora vigenti ed applicabili.</w:t>
      </w:r>
    </w:p>
    <w:p w:rsidR="00065EFA" w:rsidRDefault="00065EFA">
      <w:pPr>
        <w:pBdr>
          <w:top w:val="nil"/>
          <w:left w:val="nil"/>
          <w:bottom w:val="nil"/>
          <w:right w:val="nil"/>
          <w:between w:val="nil"/>
        </w:pBdr>
        <w:spacing w:before="120" w:after="200"/>
        <w:jc w:val="both"/>
        <w:rPr>
          <w:b/>
          <w:bCs/>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Le quantità sono indicate solo ai fini dell’individuazione della migliore offerta. I quantitativi indicati sono meramente orientativi, e non configurano determinazione dell’entità della fornitura; di fatto tale entità sarà determinata dall’effettivo fabbisogno, in quanto il reale consumo è subordinato a fattori variabili e circostanze legate alla natura particolare del bene e dalle esigenze d’uso dell’Azienda U.L.SS.8 </w:t>
      </w:r>
      <w:proofErr w:type="spellStart"/>
      <w:r>
        <w:rPr>
          <w:color w:val="000000"/>
          <w:sz w:val="22"/>
          <w:szCs w:val="22"/>
        </w:rPr>
        <w:t>Berica</w:t>
      </w:r>
      <w:proofErr w:type="spellEnd"/>
      <w:r>
        <w:rPr>
          <w:color w:val="000000"/>
          <w:sz w:val="22"/>
          <w:szCs w:val="22"/>
        </w:rPr>
        <w:t>.</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 Ai sensi dell’art. 120, comma 9, del D. Lgs. 36/2023, 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p w:rsidR="00065EFA" w:rsidRDefault="00065EFA">
      <w:pPr>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sz w:val="22"/>
          <w:szCs w:val="22"/>
        </w:rPr>
      </w:pPr>
      <w:r>
        <w:rPr>
          <w:color w:val="000000"/>
          <w:sz w:val="22"/>
          <w:szCs w:val="22"/>
        </w:rPr>
        <w:t>Il sistema dovrà essere corredato da tutto quanto il necessario al buon funzionamento</w:t>
      </w:r>
      <w:r>
        <w:rPr>
          <w:sz w:val="22"/>
          <w:szCs w:val="22"/>
        </w:rPr>
        <w:t>.</w:t>
      </w:r>
    </w:p>
    <w:p w:rsidR="00065EFA" w:rsidRDefault="00065EFA">
      <w:pPr>
        <w:widowControl w:val="0"/>
        <w:pBdr>
          <w:top w:val="nil"/>
          <w:left w:val="nil"/>
          <w:bottom w:val="nil"/>
          <w:right w:val="nil"/>
          <w:between w:val="nil"/>
        </w:pBdr>
        <w:jc w:val="both"/>
        <w:rPr>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ditta aggiudicataria dovrà provvedere a proprio carico alla fornitura del materiale necessario per la messa a punto e per l’avviamento del sistema.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spacing w:after="60"/>
        <w:jc w:val="both"/>
        <w:rPr>
          <w:color w:val="000000"/>
          <w:sz w:val="22"/>
          <w:szCs w:val="22"/>
        </w:rPr>
      </w:pPr>
      <w:r>
        <w:rPr>
          <w:color w:val="000000"/>
          <w:sz w:val="22"/>
          <w:szCs w:val="22"/>
        </w:rPr>
        <w:t xml:space="preserve">L’attrezzatura, gli accessori dovranno essere nuovi di fabbrica e già presenti sul mercato. Dovranno possedere tutte le caratteristiche previste dalle leggi e dai regolamenti vigenti in materia, con particolare riferimento a quanto stabilito dalla Direttiva Comunitaria 93/42/CEE e relativo D. Lgs. n. 46 del 24.02.97 e </w:t>
      </w:r>
      <w:proofErr w:type="spellStart"/>
      <w:r>
        <w:rPr>
          <w:color w:val="000000"/>
          <w:sz w:val="22"/>
          <w:szCs w:val="22"/>
        </w:rPr>
        <w:t>s.m.i.</w:t>
      </w:r>
      <w:proofErr w:type="spellEnd"/>
    </w:p>
    <w:p w:rsidR="00065EFA" w:rsidRDefault="00065EFA">
      <w:pPr>
        <w:pBdr>
          <w:top w:val="nil"/>
          <w:left w:val="nil"/>
          <w:bottom w:val="nil"/>
          <w:right w:val="nil"/>
          <w:between w:val="nil"/>
        </w:pBdr>
        <w:jc w:val="both"/>
        <w:rPr>
          <w:color w:val="000000"/>
          <w:sz w:val="22"/>
          <w:szCs w:val="22"/>
          <w:u w:val="single"/>
        </w:rPr>
      </w:pPr>
    </w:p>
    <w:p w:rsidR="00065EFA" w:rsidRDefault="00A73CA4">
      <w:pPr>
        <w:pBdr>
          <w:top w:val="nil"/>
          <w:left w:val="nil"/>
          <w:bottom w:val="nil"/>
          <w:right w:val="nil"/>
          <w:between w:val="nil"/>
        </w:pBdr>
        <w:jc w:val="both"/>
        <w:rPr>
          <w:sz w:val="22"/>
          <w:szCs w:val="22"/>
        </w:rPr>
      </w:pPr>
      <w:r>
        <w:rPr>
          <w:color w:val="000000"/>
          <w:sz w:val="22"/>
          <w:szCs w:val="22"/>
        </w:rPr>
        <w:t>Le forniture dei prodotti dovranno essere conformi alle norme nazionali nonché alle normative comunitarie, per quanto concerne le autorizzazioni alla produzione, all’importazione ed all’immissione in commercio ed all’uso, vigenti all’atto della consegna ancorché emanate successivamente alla formulazione dell’offerta; nessun onere aggiuntivo potrà peraltro essere richiesto all’appaltante per quanto connesso a detto adeguamento.</w:t>
      </w:r>
    </w:p>
    <w:p w:rsidR="00065EFA" w:rsidRDefault="00A73CA4">
      <w:pPr>
        <w:pBdr>
          <w:top w:val="nil"/>
          <w:left w:val="nil"/>
          <w:bottom w:val="nil"/>
          <w:right w:val="nil"/>
          <w:between w:val="nil"/>
        </w:pBdr>
        <w:jc w:val="both"/>
        <w:rPr>
          <w:color w:val="000000"/>
          <w:sz w:val="22"/>
          <w:szCs w:val="22"/>
        </w:rPr>
      </w:pPr>
      <w:r>
        <w:rPr>
          <w:color w:val="000000"/>
          <w:sz w:val="22"/>
          <w:szCs w:val="22"/>
        </w:rPr>
        <w:t>L’impresa aggiudicataria s’impegna a fornire, senza alcun onere aggiuntivo, l’aggiornamento delle componenti.</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La descrizione delle caratteristiche tecniche sopra elencate ha il mero scopo di individuare gli elementi funzionali del prodotto: le eventuali difformità saranno valutate ai sensi di quanto previsto dall'art. 79 del D.L.gs. 36/2023.</w:t>
      </w:r>
    </w:p>
    <w:p w:rsidR="00065EFA" w:rsidRDefault="00065EFA">
      <w:pPr>
        <w:pBdr>
          <w:top w:val="nil"/>
          <w:left w:val="nil"/>
          <w:bottom w:val="nil"/>
          <w:right w:val="nil"/>
          <w:between w:val="nil"/>
        </w:pBdr>
        <w:tabs>
          <w:tab w:val="left" w:pos="2694"/>
        </w:tabs>
        <w:jc w:val="both"/>
        <w:rPr>
          <w:color w:val="000000"/>
          <w:sz w:val="22"/>
          <w:szCs w:val="22"/>
        </w:rPr>
      </w:pPr>
    </w:p>
    <w:p w:rsidR="00065EFA" w:rsidRDefault="00A73CA4">
      <w:pPr>
        <w:widowControl w:val="0"/>
        <w:pBdr>
          <w:top w:val="nil"/>
          <w:left w:val="nil"/>
          <w:bottom w:val="nil"/>
          <w:right w:val="nil"/>
          <w:between w:val="nil"/>
        </w:pBdr>
        <w:ind w:left="360"/>
        <w:rPr>
          <w:color w:val="000000"/>
          <w:sz w:val="22"/>
          <w:szCs w:val="22"/>
        </w:rPr>
      </w:pPr>
      <w:r>
        <w:rPr>
          <w:b/>
          <w:bCs/>
          <w:color w:val="000000"/>
          <w:sz w:val="22"/>
          <w:szCs w:val="22"/>
        </w:rPr>
        <w:t>ART.2 BASE D’ASTA</w:t>
      </w:r>
    </w:p>
    <w:p w:rsidR="00065EFA" w:rsidRDefault="00065EFA">
      <w:pPr>
        <w:widowControl w:val="0"/>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u w:val="single"/>
        </w:rPr>
      </w:pPr>
      <w:r>
        <w:rPr>
          <w:b/>
          <w:bCs/>
          <w:color w:val="000000"/>
          <w:sz w:val="22"/>
          <w:szCs w:val="22"/>
          <w:u w:val="single"/>
        </w:rPr>
        <w:t xml:space="preserve">Importo complessivo a base d’asta </w:t>
      </w:r>
      <w:r>
        <w:rPr>
          <w:b/>
          <w:bCs/>
          <w:sz w:val="22"/>
          <w:szCs w:val="22"/>
          <w:u w:val="single"/>
        </w:rPr>
        <w:t xml:space="preserve">36 </w:t>
      </w:r>
      <w:proofErr w:type="gramStart"/>
      <w:r>
        <w:rPr>
          <w:b/>
          <w:bCs/>
          <w:sz w:val="22"/>
          <w:szCs w:val="22"/>
          <w:u w:val="single"/>
        </w:rPr>
        <w:t>mesi</w:t>
      </w:r>
      <w:r>
        <w:rPr>
          <w:b/>
          <w:bCs/>
          <w:color w:val="000000"/>
          <w:sz w:val="22"/>
          <w:szCs w:val="22"/>
          <w:u w:val="single"/>
        </w:rPr>
        <w:t xml:space="preserve">  €</w:t>
      </w:r>
      <w:proofErr w:type="gramEnd"/>
      <w:r>
        <w:rPr>
          <w:b/>
          <w:bCs/>
          <w:sz w:val="22"/>
          <w:szCs w:val="22"/>
          <w:u w:val="single"/>
        </w:rPr>
        <w:t xml:space="preserve"> 199.500,00</w:t>
      </w:r>
      <w:r>
        <w:rPr>
          <w:b/>
          <w:bCs/>
          <w:color w:val="000000"/>
          <w:sz w:val="22"/>
          <w:szCs w:val="22"/>
          <w:u w:val="single"/>
        </w:rPr>
        <w:t xml:space="preserve"> + IVA </w:t>
      </w:r>
    </w:p>
    <w:p w:rsidR="00065EFA" w:rsidRDefault="00065EFA">
      <w:pPr>
        <w:pBdr>
          <w:top w:val="nil"/>
          <w:left w:val="nil"/>
          <w:bottom w:val="nil"/>
          <w:right w:val="nil"/>
          <w:between w:val="nil"/>
        </w:pBdr>
        <w:jc w:val="both"/>
        <w:rPr>
          <w:color w:val="000000"/>
          <w:sz w:val="22"/>
          <w:szCs w:val="22"/>
          <w:u w:val="single"/>
        </w:rPr>
      </w:pPr>
    </w:p>
    <w:p w:rsidR="00065EFA" w:rsidRDefault="00A73CA4">
      <w:pPr>
        <w:pBdr>
          <w:top w:val="nil"/>
          <w:left w:val="nil"/>
          <w:bottom w:val="nil"/>
          <w:right w:val="nil"/>
          <w:between w:val="nil"/>
        </w:pBdr>
        <w:jc w:val="both"/>
        <w:rPr>
          <w:sz w:val="22"/>
          <w:szCs w:val="22"/>
          <w:u w:val="single"/>
        </w:rPr>
      </w:pPr>
      <w:r>
        <w:rPr>
          <w:b/>
          <w:bCs/>
          <w:color w:val="000000"/>
          <w:sz w:val="22"/>
          <w:szCs w:val="22"/>
          <w:u w:val="single"/>
        </w:rPr>
        <w:t>Le offerte presentate superiori alla base d’asta saranno escluse.</w:t>
      </w:r>
    </w:p>
    <w:p w:rsidR="00065EFA" w:rsidRDefault="00065EFA">
      <w:pPr>
        <w:pBdr>
          <w:top w:val="nil"/>
          <w:left w:val="nil"/>
          <w:bottom w:val="nil"/>
          <w:right w:val="nil"/>
          <w:between w:val="nil"/>
        </w:pBdr>
        <w:jc w:val="both"/>
        <w:rPr>
          <w:sz w:val="22"/>
          <w:szCs w:val="22"/>
          <w:u w:val="single"/>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L’azienda </w:t>
      </w:r>
      <w:proofErr w:type="spellStart"/>
      <w:r>
        <w:rPr>
          <w:color w:val="000000"/>
          <w:sz w:val="22"/>
          <w:szCs w:val="22"/>
        </w:rPr>
        <w:t>Ulss</w:t>
      </w:r>
      <w:proofErr w:type="spellEnd"/>
      <w:r>
        <w:rPr>
          <w:color w:val="000000"/>
          <w:sz w:val="22"/>
          <w:szCs w:val="22"/>
        </w:rPr>
        <w:t xml:space="preserve"> 8 corrisponderà un canone di noleggio e di manutenzione ordinaria e straordinaria per il sistema diagnostico, nonché il prezzo offerto dalla ditta aggiudicataria per i reagenti effettivamente utilizzati, per tutta la durata della fornitura, pari a </w:t>
      </w:r>
      <w:r>
        <w:rPr>
          <w:sz w:val="22"/>
          <w:szCs w:val="22"/>
        </w:rPr>
        <w:t>36 mesi</w:t>
      </w:r>
      <w:r>
        <w:rPr>
          <w:color w:val="000000"/>
          <w:sz w:val="22"/>
          <w:szCs w:val="22"/>
        </w:rPr>
        <w:t>.</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tabs>
          <w:tab w:val="left" w:pos="2694"/>
        </w:tabs>
        <w:spacing w:before="120" w:after="200"/>
        <w:jc w:val="both"/>
        <w:rPr>
          <w:color w:val="000000"/>
          <w:sz w:val="22"/>
          <w:szCs w:val="22"/>
        </w:rPr>
      </w:pPr>
      <w:r>
        <w:rPr>
          <w:color w:val="000000"/>
          <w:sz w:val="22"/>
          <w:szCs w:val="22"/>
        </w:rPr>
        <w:t>I costi della sicurezza derivanti da "interferenze" sono, allo stato attuale, pari a zero.</w:t>
      </w:r>
    </w:p>
    <w:p w:rsidR="00065EFA" w:rsidRDefault="00A73CA4">
      <w:pPr>
        <w:pBdr>
          <w:top w:val="nil"/>
          <w:left w:val="nil"/>
          <w:bottom w:val="nil"/>
          <w:right w:val="nil"/>
          <w:between w:val="nil"/>
        </w:pBdr>
        <w:jc w:val="both"/>
        <w:rPr>
          <w:color w:val="000000"/>
          <w:sz w:val="22"/>
          <w:szCs w:val="22"/>
        </w:rPr>
      </w:pPr>
      <w:r>
        <w:rPr>
          <w:color w:val="000000"/>
          <w:sz w:val="22"/>
          <w:szCs w:val="22"/>
        </w:rPr>
        <w:t>L’importo degli oneri per la sicurezza da interferenze è pari a € 0,00 poiché l’adozione delle misure per l’eliminazione/riduzione dei rischi interferenti e l’attuazione delle misure di prevenzione previste non comporta costi per la sicurezza.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proofErr w:type="gramStart"/>
      <w:r>
        <w:rPr>
          <w:color w:val="000000"/>
          <w:sz w:val="22"/>
          <w:szCs w:val="22"/>
        </w:rPr>
        <w:t>E’</w:t>
      </w:r>
      <w:proofErr w:type="gramEnd"/>
      <w:r>
        <w:rPr>
          <w:color w:val="000000"/>
          <w:sz w:val="22"/>
          <w:szCs w:val="22"/>
        </w:rPr>
        <w:t xml:space="preserve"> onere del fornitore, qualora rilevasse, al contrario, la presenza di eventuali oneri, proporre l’integrazione del DUVRI allegato e quantificarne l’importo.</w:t>
      </w:r>
    </w:p>
    <w:p w:rsidR="00065EFA" w:rsidRDefault="00065EFA">
      <w:pPr>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rPr>
          <w:color w:val="000000"/>
          <w:sz w:val="22"/>
          <w:szCs w:val="22"/>
        </w:rPr>
      </w:pPr>
      <w:r>
        <w:rPr>
          <w:b/>
          <w:bCs/>
          <w:color w:val="000000"/>
          <w:sz w:val="22"/>
          <w:szCs w:val="22"/>
        </w:rPr>
        <w:t>ART 3 DURATA</w:t>
      </w:r>
    </w:p>
    <w:p w:rsidR="00065EFA" w:rsidRDefault="00A73CA4">
      <w:pPr>
        <w:pBdr>
          <w:top w:val="nil"/>
          <w:left w:val="nil"/>
          <w:bottom w:val="nil"/>
          <w:right w:val="nil"/>
          <w:between w:val="nil"/>
        </w:pBdr>
        <w:spacing w:before="120" w:after="200"/>
        <w:jc w:val="both"/>
        <w:rPr>
          <w:color w:val="000000"/>
          <w:sz w:val="22"/>
          <w:szCs w:val="22"/>
        </w:rPr>
      </w:pPr>
      <w:r>
        <w:rPr>
          <w:color w:val="000000"/>
          <w:sz w:val="22"/>
          <w:szCs w:val="22"/>
        </w:rPr>
        <w:t xml:space="preserve">La fornitura avrà durata di </w:t>
      </w:r>
      <w:r>
        <w:rPr>
          <w:sz w:val="22"/>
          <w:szCs w:val="22"/>
        </w:rPr>
        <w:t>36</w:t>
      </w:r>
      <w:r>
        <w:rPr>
          <w:color w:val="000000"/>
          <w:sz w:val="22"/>
          <w:szCs w:val="22"/>
        </w:rPr>
        <w:t xml:space="preserve"> mesi con decorrenza dalla data di sottoscrizione del contratto o da diversa decorrenza comunicata successivamente, salvo esecuzione anticipata di urgenza.</w:t>
      </w:r>
    </w:p>
    <w:p w:rsidR="00065EFA" w:rsidRDefault="00A73CA4">
      <w:pPr>
        <w:pBdr>
          <w:top w:val="nil"/>
          <w:left w:val="nil"/>
          <w:bottom w:val="nil"/>
          <w:right w:val="nil"/>
          <w:between w:val="nil"/>
        </w:pBdr>
        <w:spacing w:before="120" w:after="200"/>
        <w:jc w:val="both"/>
        <w:rPr>
          <w:color w:val="000000"/>
          <w:sz w:val="22"/>
          <w:szCs w:val="22"/>
        </w:rPr>
      </w:pPr>
      <w:bookmarkStart w:id="5" w:name="_heading=h.w73faocyop0m" w:colFirst="0" w:colLast="0"/>
      <w:bookmarkEnd w:id="5"/>
      <w:r>
        <w:rPr>
          <w:color w:val="000000"/>
          <w:sz w:val="22"/>
          <w:szCs w:val="22"/>
        </w:rPr>
        <w:t>Il contratto potrà essere risolto nell’eventualità di intervenuta aggiudicazione di gara regionale.</w:t>
      </w: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4 – REQUISITI E MODALITA’ DI PARTECIPAZIONE</w:t>
      </w:r>
    </w:p>
    <w:p w:rsidR="00065EFA" w:rsidRDefault="00065EFA">
      <w:pPr>
        <w:widowControl w:val="0"/>
        <w:pBdr>
          <w:top w:val="nil"/>
          <w:left w:val="nil"/>
          <w:bottom w:val="nil"/>
          <w:right w:val="nil"/>
          <w:between w:val="nil"/>
        </w:pBdr>
        <w:jc w:val="both"/>
        <w:rPr>
          <w:color w:val="000000"/>
          <w:sz w:val="22"/>
          <w:szCs w:val="22"/>
        </w:rPr>
      </w:pPr>
      <w:bookmarkStart w:id="6" w:name="_heading=h.vex40tc4nj9b" w:colFirst="0" w:colLast="0"/>
      <w:bookmarkEnd w:id="6"/>
    </w:p>
    <w:p w:rsidR="00065EFA" w:rsidRDefault="00A73CA4">
      <w:pPr>
        <w:pBdr>
          <w:top w:val="nil"/>
          <w:left w:val="nil"/>
          <w:bottom w:val="nil"/>
          <w:right w:val="nil"/>
          <w:between w:val="nil"/>
        </w:pBdr>
        <w:spacing w:after="60"/>
        <w:rPr>
          <w:b/>
          <w:bCs/>
          <w:color w:val="000000"/>
          <w:sz w:val="22"/>
          <w:szCs w:val="22"/>
        </w:rPr>
      </w:pPr>
      <w:r>
        <w:rPr>
          <w:b/>
          <w:bCs/>
          <w:color w:val="000000"/>
          <w:sz w:val="22"/>
          <w:szCs w:val="22"/>
        </w:rPr>
        <w:t>Art. 4.1 Requisiti richiesti per la partecipazione</w:t>
      </w:r>
    </w:p>
    <w:p w:rsidR="00065EFA" w:rsidRDefault="00A73CA4">
      <w:pPr>
        <w:pBdr>
          <w:top w:val="nil"/>
          <w:left w:val="nil"/>
          <w:bottom w:val="nil"/>
          <w:right w:val="nil"/>
          <w:between w:val="nil"/>
        </w:pBdr>
        <w:rPr>
          <w:color w:val="000000"/>
          <w:sz w:val="22"/>
          <w:szCs w:val="22"/>
        </w:rPr>
      </w:pPr>
      <w:r>
        <w:rPr>
          <w:color w:val="000000"/>
          <w:sz w:val="22"/>
          <w:szCs w:val="22"/>
        </w:rPr>
        <w:t>Il concorrente dovrà essere in possesso dei seguenti requisiti:</w:t>
      </w:r>
    </w:p>
    <w:p w:rsidR="00065EFA" w:rsidRDefault="00A73CA4">
      <w:pPr>
        <w:numPr>
          <w:ilvl w:val="0"/>
          <w:numId w:val="28"/>
        </w:numPr>
        <w:pBdr>
          <w:top w:val="nil"/>
          <w:left w:val="nil"/>
          <w:bottom w:val="nil"/>
          <w:right w:val="nil"/>
          <w:between w:val="nil"/>
        </w:pBdr>
        <w:jc w:val="both"/>
        <w:rPr>
          <w:color w:val="000000"/>
          <w:sz w:val="22"/>
          <w:szCs w:val="22"/>
        </w:rPr>
      </w:pPr>
      <w:r>
        <w:rPr>
          <w:color w:val="000000"/>
          <w:sz w:val="22"/>
          <w:szCs w:val="22"/>
        </w:rPr>
        <w:t>requisiti di idoneità professionale a norma dell'art. 100 del Codice, comprovati dall'iscrizione alla C.C.I.A.A. nell'ambito di idonea categoria merceologica per attività corrispondenti all'oggetto del servizio di cui alla presente, oppure idoneo documento attestante la natura dell’Ente/Associazione (atto costitutivo, statuto, etc.);</w:t>
      </w:r>
    </w:p>
    <w:p w:rsidR="00065EFA" w:rsidRDefault="00065EFA">
      <w:pPr>
        <w:pBdr>
          <w:top w:val="nil"/>
          <w:left w:val="nil"/>
          <w:bottom w:val="nil"/>
          <w:right w:val="nil"/>
          <w:between w:val="nil"/>
        </w:pBdr>
        <w:spacing w:after="60"/>
        <w:rPr>
          <w:b/>
          <w:bCs/>
          <w:color w:val="000000"/>
          <w:sz w:val="22"/>
          <w:szCs w:val="22"/>
        </w:rPr>
      </w:pPr>
    </w:p>
    <w:p w:rsidR="00065EFA" w:rsidRDefault="00A73CA4">
      <w:pPr>
        <w:pBdr>
          <w:top w:val="nil"/>
          <w:left w:val="nil"/>
          <w:bottom w:val="nil"/>
          <w:right w:val="nil"/>
          <w:between w:val="nil"/>
        </w:pBdr>
        <w:spacing w:after="60"/>
        <w:rPr>
          <w:color w:val="000000"/>
          <w:sz w:val="22"/>
          <w:szCs w:val="22"/>
        </w:rPr>
      </w:pPr>
      <w:r>
        <w:rPr>
          <w:b/>
          <w:bCs/>
          <w:color w:val="000000"/>
          <w:sz w:val="22"/>
          <w:szCs w:val="22"/>
        </w:rPr>
        <w:t>Art. 4.2 Modalità di partecipazione</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Per partecipare alla procedura la Ditta interessata dovrà presentare, tassativamente entro i termini indicati nel </w:t>
      </w:r>
      <w:r>
        <w:rPr>
          <w:b/>
          <w:bCs/>
          <w:color w:val="000000"/>
          <w:sz w:val="22"/>
          <w:szCs w:val="22"/>
          <w:u w:val="single"/>
        </w:rPr>
        <w:t>sistema a pena di esclusione</w:t>
      </w:r>
      <w:r>
        <w:rPr>
          <w:color w:val="000000"/>
          <w:sz w:val="22"/>
          <w:szCs w:val="22"/>
        </w:rPr>
        <w:t>, la propria offerta collegandosi al sito internet www.aria.regione.lombardia.it, accedendo alla piattaforma “</w:t>
      </w:r>
      <w:proofErr w:type="spellStart"/>
      <w:r>
        <w:rPr>
          <w:color w:val="000000"/>
          <w:sz w:val="22"/>
          <w:szCs w:val="22"/>
        </w:rPr>
        <w:t>Sintel</w:t>
      </w:r>
      <w:proofErr w:type="spellEnd"/>
      <w:r>
        <w:rPr>
          <w:color w:val="000000"/>
          <w:sz w:val="22"/>
          <w:szCs w:val="22"/>
        </w:rPr>
        <w:t>” ed individuando la procedura in oggetto, utilizzando gli appositi campi di ricerca resi disponibili (si veda la sezione help-guide e manuali-operatore economico all’interno del citato sito internet www.aria.regione.lombardia.it).</w:t>
      </w:r>
    </w:p>
    <w:p w:rsidR="00065EFA" w:rsidRDefault="00065EFA">
      <w:pPr>
        <w:pBdr>
          <w:top w:val="nil"/>
          <w:left w:val="nil"/>
          <w:bottom w:val="nil"/>
          <w:right w:val="nil"/>
          <w:between w:val="nil"/>
        </w:pBdr>
        <w:tabs>
          <w:tab w:val="left" w:pos="2694"/>
        </w:tabs>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redazione dell’offerta dovrà avvenire seguendo le cinque diverse fasi successive dell’apposita procedura guidata di </w:t>
      </w:r>
      <w:proofErr w:type="spellStart"/>
      <w:r>
        <w:rPr>
          <w:color w:val="000000"/>
          <w:sz w:val="22"/>
          <w:szCs w:val="22"/>
        </w:rPr>
        <w:t>SinTel</w:t>
      </w:r>
      <w:proofErr w:type="spellEnd"/>
      <w:r>
        <w:rPr>
          <w:color w:val="000000"/>
          <w:sz w:val="22"/>
          <w:szCs w:val="22"/>
        </w:rPr>
        <w:t xml:space="preserve"> (step).</w:t>
      </w:r>
    </w:p>
    <w:p w:rsidR="00065EFA" w:rsidRDefault="00A73CA4">
      <w:pPr>
        <w:pBdr>
          <w:top w:val="nil"/>
          <w:left w:val="nil"/>
          <w:bottom w:val="nil"/>
          <w:right w:val="nil"/>
          <w:between w:val="nil"/>
        </w:pBdr>
        <w:jc w:val="both"/>
        <w:rPr>
          <w:color w:val="000000"/>
          <w:sz w:val="22"/>
          <w:szCs w:val="22"/>
        </w:rPr>
      </w:pPr>
      <w:r>
        <w:rPr>
          <w:color w:val="000000"/>
          <w:sz w:val="22"/>
          <w:szCs w:val="22"/>
        </w:rPr>
        <w:t>Il concorrente, tramite i percorsi di seguito descritti, compie le seguenti operazioni:</w:t>
      </w:r>
    </w:p>
    <w:p w:rsidR="00065EFA" w:rsidRDefault="00A73CA4">
      <w:pPr>
        <w:numPr>
          <w:ilvl w:val="0"/>
          <w:numId w:val="17"/>
        </w:numPr>
        <w:pBdr>
          <w:top w:val="nil"/>
          <w:left w:val="nil"/>
          <w:bottom w:val="nil"/>
          <w:right w:val="nil"/>
          <w:between w:val="nil"/>
        </w:pBdr>
        <w:jc w:val="both"/>
        <w:rPr>
          <w:color w:val="000000"/>
          <w:sz w:val="22"/>
          <w:szCs w:val="22"/>
        </w:rPr>
      </w:pPr>
      <w:r>
        <w:rPr>
          <w:color w:val="000000"/>
          <w:sz w:val="22"/>
          <w:szCs w:val="22"/>
        </w:rPr>
        <w:t>caricamento sulla Piattaforma dei documenti richiesti;</w:t>
      </w:r>
    </w:p>
    <w:p w:rsidR="00065EFA" w:rsidRDefault="00A73CA4">
      <w:pPr>
        <w:numPr>
          <w:ilvl w:val="0"/>
          <w:numId w:val="17"/>
        </w:numPr>
        <w:pBdr>
          <w:top w:val="nil"/>
          <w:left w:val="nil"/>
          <w:bottom w:val="nil"/>
          <w:right w:val="nil"/>
          <w:between w:val="nil"/>
        </w:pBdr>
        <w:jc w:val="both"/>
        <w:rPr>
          <w:color w:val="000000"/>
          <w:sz w:val="22"/>
          <w:szCs w:val="22"/>
        </w:rPr>
      </w:pPr>
      <w:r>
        <w:rPr>
          <w:color w:val="000000"/>
          <w:sz w:val="22"/>
          <w:szCs w:val="22"/>
        </w:rPr>
        <w:t xml:space="preserve">invio dei medesimi unitamente a quelli generati da </w:t>
      </w:r>
      <w:proofErr w:type="spellStart"/>
      <w:r>
        <w:rPr>
          <w:color w:val="000000"/>
          <w:sz w:val="22"/>
          <w:szCs w:val="22"/>
        </w:rPr>
        <w:t>Sintel</w:t>
      </w:r>
      <w:proofErr w:type="spellEnd"/>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La fase i) da sola non concretizza invio dell’offerta in quanto i documenti caricati sono inseriti in uno spazio dedicato al concorrente per la scelta dei documenti da allegare e che possono essere modificati da parte del concorrente medesimo.</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fase ii) concretizza, se completata, l’offerta in quanto i documenti sono stati composti nell’area dedicata al concorrente e confermati tramite anche firma degli </w:t>
      </w:r>
      <w:proofErr w:type="spellStart"/>
      <w:r>
        <w:rPr>
          <w:color w:val="000000"/>
          <w:sz w:val="22"/>
          <w:szCs w:val="22"/>
        </w:rPr>
        <w:t>hash</w:t>
      </w:r>
      <w:proofErr w:type="spellEnd"/>
      <w:r>
        <w:rPr>
          <w:color w:val="000000"/>
          <w:sz w:val="22"/>
          <w:szCs w:val="22"/>
        </w:rPr>
        <w:t xml:space="preserve"> riguardanti i singoli file (l’</w:t>
      </w:r>
      <w:proofErr w:type="spellStart"/>
      <w:r>
        <w:rPr>
          <w:color w:val="000000"/>
          <w:sz w:val="22"/>
          <w:szCs w:val="22"/>
        </w:rPr>
        <w:t>hash</w:t>
      </w:r>
      <w:proofErr w:type="spellEnd"/>
      <w:r>
        <w:rPr>
          <w:color w:val="000000"/>
          <w:sz w:val="22"/>
          <w:szCs w:val="22"/>
        </w:rPr>
        <w:t xml:space="preserve"> è un codice che identifica inequivocabilmente l’identità di tali documenti). Con la sottoscrizione di tali codici </w:t>
      </w:r>
      <w:proofErr w:type="spellStart"/>
      <w:r>
        <w:rPr>
          <w:color w:val="000000"/>
          <w:sz w:val="22"/>
          <w:szCs w:val="22"/>
        </w:rPr>
        <w:t>hash</w:t>
      </w:r>
      <w:proofErr w:type="spellEnd"/>
      <w:r>
        <w:rPr>
          <w:color w:val="000000"/>
          <w:sz w:val="22"/>
          <w:szCs w:val="22"/>
        </w:rPr>
        <w:t xml:space="preserve"> il concorrente assume l’identità e paternità dei documenti inviati per l’offerta (di cui ha controllato l’integrità e leggibilità).</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In particolare, il concorrente dovrà inviare: </w:t>
      </w:r>
    </w:p>
    <w:p w:rsidR="00065EFA" w:rsidRDefault="00A73CA4">
      <w:pPr>
        <w:pBdr>
          <w:top w:val="nil"/>
          <w:left w:val="nil"/>
          <w:bottom w:val="nil"/>
          <w:right w:val="nil"/>
          <w:between w:val="nil"/>
        </w:pBdr>
        <w:rPr>
          <w:color w:val="000000"/>
          <w:sz w:val="22"/>
          <w:szCs w:val="22"/>
        </w:rPr>
      </w:pPr>
      <w:r>
        <w:rPr>
          <w:color w:val="000000"/>
          <w:sz w:val="22"/>
          <w:szCs w:val="22"/>
        </w:rPr>
        <w:t xml:space="preserve">a) la </w:t>
      </w:r>
      <w:r>
        <w:rPr>
          <w:b/>
          <w:bCs/>
          <w:i/>
          <w:iCs/>
          <w:color w:val="000000"/>
          <w:sz w:val="22"/>
          <w:szCs w:val="22"/>
        </w:rPr>
        <w:t xml:space="preserve">Documentazione amministrativa; </w:t>
      </w:r>
    </w:p>
    <w:p w:rsidR="00065EFA" w:rsidRDefault="00A73CA4">
      <w:pPr>
        <w:pBdr>
          <w:top w:val="nil"/>
          <w:left w:val="nil"/>
          <w:bottom w:val="nil"/>
          <w:right w:val="nil"/>
          <w:between w:val="nil"/>
        </w:pBdr>
        <w:rPr>
          <w:color w:val="000000"/>
          <w:sz w:val="22"/>
          <w:szCs w:val="22"/>
        </w:rPr>
      </w:pPr>
      <w:r>
        <w:rPr>
          <w:color w:val="000000"/>
          <w:sz w:val="22"/>
          <w:szCs w:val="22"/>
        </w:rPr>
        <w:t xml:space="preserve">b) la </w:t>
      </w:r>
      <w:r>
        <w:rPr>
          <w:b/>
          <w:bCs/>
          <w:i/>
          <w:iCs/>
          <w:color w:val="000000"/>
          <w:sz w:val="22"/>
          <w:szCs w:val="22"/>
        </w:rPr>
        <w:t xml:space="preserve">Documentazione tecnica; </w:t>
      </w:r>
    </w:p>
    <w:p w:rsidR="00065EFA" w:rsidRDefault="00A73CA4">
      <w:pPr>
        <w:pBdr>
          <w:top w:val="nil"/>
          <w:left w:val="nil"/>
          <w:bottom w:val="nil"/>
          <w:right w:val="nil"/>
          <w:between w:val="nil"/>
        </w:pBdr>
        <w:jc w:val="both"/>
        <w:rPr>
          <w:color w:val="000000"/>
          <w:sz w:val="22"/>
          <w:szCs w:val="22"/>
        </w:rPr>
      </w:pPr>
      <w:r>
        <w:rPr>
          <w:color w:val="000000"/>
          <w:sz w:val="22"/>
          <w:szCs w:val="22"/>
        </w:rPr>
        <w:t>c) l’</w:t>
      </w:r>
      <w:r>
        <w:rPr>
          <w:b/>
          <w:bCs/>
          <w:i/>
          <w:iCs/>
          <w:color w:val="000000"/>
          <w:sz w:val="22"/>
          <w:szCs w:val="22"/>
        </w:rPr>
        <w:t>Offerta economica</w:t>
      </w:r>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Si precisa che, prima dell’invio, tutti i file che compongono l’offerta che non siano già originariamente in formato pdf, devono essere convertiti in formato pdf (salvo diverse indicazioni).</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proofErr w:type="spellStart"/>
      <w:r>
        <w:rPr>
          <w:color w:val="000000"/>
          <w:sz w:val="22"/>
          <w:szCs w:val="22"/>
        </w:rPr>
        <w:t>Sintel</w:t>
      </w:r>
      <w:proofErr w:type="spellEnd"/>
      <w:r>
        <w:rPr>
          <w:color w:val="000000"/>
          <w:sz w:val="22"/>
          <w:szCs w:val="22"/>
        </w:rPr>
        <w:t xml:space="preserve"> consente al concorrente la predisposizione dell’offerta in momenti temporali differenti (step 2 e step 3 del percorso guidato “Invia offerta”), attraverso il salvataggio dei dati e l’upload dei file richiesti in apposite aree della Piattaforma dedicate al singolo concorrente, fermo restando che l’invio dell’offerta completa e definitiva deve necessariamente avvenire entro la scadenza del predetto termine perentorio di presentazione dell’offerta.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Lo step 4 “Firma digitale dell’offerta” prevede che il concorrente proceda con la sottoscrizione del “Documento d’offerta” generato da </w:t>
      </w:r>
      <w:proofErr w:type="spellStart"/>
      <w:r>
        <w:rPr>
          <w:color w:val="000000"/>
          <w:sz w:val="22"/>
          <w:szCs w:val="22"/>
        </w:rPr>
        <w:t>Sintel</w:t>
      </w:r>
      <w:proofErr w:type="spellEnd"/>
      <w:r>
        <w:rPr>
          <w:color w:val="000000"/>
          <w:sz w:val="22"/>
          <w:szCs w:val="22"/>
        </w:rPr>
        <w:t xml:space="preserve"> in automatico, in formato pdf, di cui al successivo paragrafo.</w:t>
      </w:r>
    </w:p>
    <w:p w:rsidR="00065EFA" w:rsidRDefault="00A73CA4">
      <w:pPr>
        <w:pBdr>
          <w:top w:val="nil"/>
          <w:left w:val="nil"/>
          <w:bottom w:val="nil"/>
          <w:right w:val="nil"/>
          <w:between w:val="nil"/>
        </w:pBdr>
        <w:jc w:val="both"/>
        <w:rPr>
          <w:color w:val="000000"/>
          <w:sz w:val="22"/>
          <w:szCs w:val="22"/>
        </w:rPr>
      </w:pPr>
      <w:r>
        <w:rPr>
          <w:color w:val="000000"/>
          <w:sz w:val="22"/>
          <w:szCs w:val="22"/>
        </w:rPr>
        <w:t>La predisposizione e il salvataggio dell’offerta da parte del concorrente nella propria area dedicata non implica l’effettivo invio dell’offerta ai fini della partecipazione.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Si specifica infatti che l’invio della medesima ai fini della procedura avviene solamente al quinto ed ultimo step “Riepilogo ed invio dell’offerta” del percorso guidato “Invia offerta” cliccando sulla funzione “INVIA OFFERTA” a conclusione del percorso di sottomissione.</w:t>
      </w:r>
    </w:p>
    <w:p w:rsidR="00065EFA" w:rsidRDefault="00A73CA4">
      <w:pPr>
        <w:pBdr>
          <w:top w:val="nil"/>
          <w:left w:val="nil"/>
          <w:bottom w:val="nil"/>
          <w:right w:val="nil"/>
          <w:between w:val="nil"/>
        </w:pBdr>
        <w:jc w:val="both"/>
        <w:rPr>
          <w:color w:val="000000"/>
          <w:sz w:val="22"/>
          <w:szCs w:val="22"/>
        </w:rPr>
      </w:pPr>
      <w:r>
        <w:rPr>
          <w:color w:val="000000"/>
          <w:sz w:val="22"/>
          <w:szCs w:val="22"/>
        </w:rPr>
        <w:t>Solamente con tale ultimo step l’offerta è inviata e, conseguentemente, validamente presentata; diversamente i documenti caricati permangono nello spazio dedicato del concorrente e non concretizzano offerta.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Il tutto, fermo restando che detto invio dell’offerta deve necessariamente avvenire entro la scadenza del predetto termine perentorio di presentazione dell’offerta.</w:t>
      </w:r>
    </w:p>
    <w:p w:rsidR="00065EFA" w:rsidRDefault="00A73CA4">
      <w:pPr>
        <w:pBdr>
          <w:top w:val="nil"/>
          <w:left w:val="nil"/>
          <w:bottom w:val="nil"/>
          <w:right w:val="nil"/>
          <w:between w:val="nil"/>
        </w:pBdr>
        <w:jc w:val="both"/>
        <w:rPr>
          <w:color w:val="000000"/>
          <w:sz w:val="22"/>
          <w:szCs w:val="22"/>
        </w:rPr>
      </w:pPr>
      <w:r>
        <w:rPr>
          <w:color w:val="000000"/>
          <w:sz w:val="22"/>
          <w:szCs w:val="22"/>
        </w:rPr>
        <w:t>Si specifica che si concretizza invio dell’offerta solamente ad esito delle operazioni descritte e previste dai percorsi “Invia offerta”. Tutti gli step del percorso “Invia offerta” devono essere completati nella sequenza stabilita dalla Piattaforma. Il Sistema darà comunicazione del corretto invio dell’offerta all’indirizzo e-mail indicato dall’operatore economico in fase di registrazione.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 xml:space="preserve">È responsabilità dei concorrenti, in ogni caso, l’invio tempestivo e completo di quanto richiesto nel termine indicato nella Piattaforma </w:t>
      </w:r>
      <w:proofErr w:type="spellStart"/>
      <w:r>
        <w:rPr>
          <w:b/>
          <w:bCs/>
          <w:color w:val="000000"/>
          <w:sz w:val="22"/>
          <w:szCs w:val="22"/>
        </w:rPr>
        <w:t>SinTel</w:t>
      </w:r>
      <w:proofErr w:type="spellEnd"/>
      <w:r>
        <w:rPr>
          <w:b/>
          <w:bCs/>
          <w:color w:val="000000"/>
          <w:sz w:val="22"/>
          <w:szCs w:val="22"/>
        </w:rPr>
        <w:t>, anche atteso che la Piattaforma non accetta offerte – con ciò intendendo i documenti inviati tramite lo step “INVIA OFFERTA” sopra richiamato – presentate dopo la data e l’orario stabiliti come termine ultimo di presentazione delle offerte.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Con riferimento alla procedura di invio telematico di offerta si specifica che:</w:t>
      </w:r>
    </w:p>
    <w:p w:rsidR="00065EFA" w:rsidRDefault="00A73CA4">
      <w:pPr>
        <w:numPr>
          <w:ilvl w:val="0"/>
          <w:numId w:val="18"/>
        </w:numPr>
        <w:pBdr>
          <w:top w:val="nil"/>
          <w:left w:val="nil"/>
          <w:bottom w:val="nil"/>
          <w:right w:val="nil"/>
          <w:between w:val="nil"/>
        </w:pBdr>
        <w:jc w:val="both"/>
        <w:rPr>
          <w:color w:val="000000"/>
          <w:sz w:val="22"/>
          <w:szCs w:val="22"/>
        </w:rPr>
      </w:pPr>
      <w:r>
        <w:rPr>
          <w:color w:val="000000"/>
          <w:sz w:val="22"/>
          <w:szCs w:val="22"/>
        </w:rPr>
        <w:t xml:space="preserve">è obbligo del concorrente e buona norma di diligenza professionale del concorrente connettersi a </w:t>
      </w:r>
      <w:proofErr w:type="spellStart"/>
      <w:r>
        <w:rPr>
          <w:color w:val="000000"/>
          <w:sz w:val="22"/>
          <w:szCs w:val="22"/>
        </w:rPr>
        <w:t>Sintel</w:t>
      </w:r>
      <w:proofErr w:type="spellEnd"/>
      <w:r>
        <w:rPr>
          <w:color w:val="000000"/>
          <w:sz w:val="22"/>
          <w:szCs w:val="22"/>
        </w:rPr>
        <w:t xml:space="preserve"> con un congruo anticipo prima della scadenza del termine di presentazione delle offerte in maniera tale da inserire i dati, sottomettere ed inviare i documenti correttamente e risolvere eventuali problematiche di comprensione del funzionamento della Piattaforma per tempo;</w:t>
      </w:r>
    </w:p>
    <w:p w:rsidR="00065EFA" w:rsidRDefault="00A73CA4">
      <w:pPr>
        <w:numPr>
          <w:ilvl w:val="0"/>
          <w:numId w:val="18"/>
        </w:numPr>
        <w:pBdr>
          <w:top w:val="nil"/>
          <w:left w:val="nil"/>
          <w:bottom w:val="nil"/>
          <w:right w:val="nil"/>
          <w:between w:val="nil"/>
        </w:pBdr>
        <w:jc w:val="both"/>
        <w:rPr>
          <w:color w:val="000000"/>
          <w:sz w:val="22"/>
          <w:szCs w:val="22"/>
        </w:rPr>
      </w:pPr>
      <w:r>
        <w:rPr>
          <w:color w:val="000000"/>
          <w:sz w:val="22"/>
          <w:szCs w:val="22"/>
        </w:rPr>
        <w:t xml:space="preserve">è obbligo del concorrente e buona norma di diligenza professionale del concorrente controllare il contenuto dei documenti caricati sulla piattaforma verificandone l’integrità successivamente al loro </w:t>
      </w:r>
      <w:r>
        <w:rPr>
          <w:color w:val="000000"/>
          <w:sz w:val="22"/>
          <w:szCs w:val="22"/>
        </w:rPr>
        <w:lastRenderedPageBreak/>
        <w:t>caricamento sulla Piattaforma, allo step 5 “Riepilogo ed invio dell’offerta” del percorso guidato “Invia offerta”, ma prima dell’effettivo invio dell’offerta. È altresì possibile controllare (e, altresì, consigliato) detti documenti successivamente l’invio dell’offerta, attraverso la funzionalità “Storia offerte”, fermo restando la loro non sostituibilità dopo il decorso di tale termine e la perentorietà del termine d’offerta.</w:t>
      </w:r>
    </w:p>
    <w:p w:rsidR="00065EFA" w:rsidRDefault="00065EFA">
      <w:pPr>
        <w:pBdr>
          <w:top w:val="nil"/>
          <w:left w:val="nil"/>
          <w:bottom w:val="nil"/>
          <w:right w:val="nil"/>
          <w:between w:val="nil"/>
        </w:pBdr>
        <w:ind w:left="720"/>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 xml:space="preserve">Si sottolinea che il semplice caricamento (upload) della documentazione di offerta su </w:t>
      </w:r>
      <w:proofErr w:type="spellStart"/>
      <w:r>
        <w:rPr>
          <w:b/>
          <w:bCs/>
          <w:color w:val="000000"/>
          <w:sz w:val="22"/>
          <w:szCs w:val="22"/>
        </w:rPr>
        <w:t>Sintel</w:t>
      </w:r>
      <w:proofErr w:type="spellEnd"/>
      <w:r>
        <w:rPr>
          <w:b/>
          <w:bCs/>
          <w:color w:val="000000"/>
          <w:sz w:val="22"/>
          <w:szCs w:val="22"/>
        </w:rPr>
        <w:t xml:space="preserve"> non comporta l’invio dell’offerta alla stazione appaltante.</w:t>
      </w:r>
    </w:p>
    <w:p w:rsidR="00065EFA" w:rsidRDefault="00A73CA4">
      <w:pPr>
        <w:pBdr>
          <w:top w:val="nil"/>
          <w:left w:val="nil"/>
          <w:bottom w:val="nil"/>
          <w:right w:val="nil"/>
          <w:between w:val="nil"/>
        </w:pBdr>
        <w:jc w:val="both"/>
        <w:rPr>
          <w:color w:val="000000"/>
          <w:sz w:val="22"/>
          <w:szCs w:val="22"/>
        </w:rPr>
      </w:pPr>
      <w:r>
        <w:rPr>
          <w:b/>
          <w:bCs/>
          <w:color w:val="000000"/>
          <w:sz w:val="22"/>
          <w:szCs w:val="22"/>
        </w:rPr>
        <w:t xml:space="preserve">L’invio dell’offerta avverrà soltanto mediante l’apposita procedura da effettuarsi al termine e successivamente alla procedura di redazione, sottoscrizione e caricamento su </w:t>
      </w:r>
      <w:proofErr w:type="spellStart"/>
      <w:r>
        <w:rPr>
          <w:b/>
          <w:bCs/>
          <w:color w:val="000000"/>
          <w:sz w:val="22"/>
          <w:szCs w:val="22"/>
        </w:rPr>
        <w:t>Sintel</w:t>
      </w:r>
      <w:proofErr w:type="spellEnd"/>
      <w:r>
        <w:rPr>
          <w:b/>
          <w:bCs/>
          <w:color w:val="000000"/>
          <w:sz w:val="22"/>
          <w:szCs w:val="22"/>
        </w:rPr>
        <w:t xml:space="preserve"> della documentazione che compone l’offerta. Si suggerisce al Concorrente di verificare di avere completato tutti i passaggi richiesti da </w:t>
      </w:r>
      <w:proofErr w:type="spellStart"/>
      <w:r>
        <w:rPr>
          <w:b/>
          <w:bCs/>
          <w:color w:val="000000"/>
          <w:sz w:val="22"/>
          <w:szCs w:val="22"/>
        </w:rPr>
        <w:t>Sintel</w:t>
      </w:r>
      <w:proofErr w:type="spellEnd"/>
      <w:r>
        <w:rPr>
          <w:b/>
          <w:bCs/>
          <w:color w:val="000000"/>
          <w:sz w:val="22"/>
          <w:szCs w:val="22"/>
        </w:rPr>
        <w:t xml:space="preserve"> per procedere all’invio dell’offerta. In ogni caso </w:t>
      </w:r>
      <w:proofErr w:type="spellStart"/>
      <w:r>
        <w:rPr>
          <w:b/>
          <w:bCs/>
          <w:color w:val="000000"/>
          <w:sz w:val="22"/>
          <w:szCs w:val="22"/>
        </w:rPr>
        <w:t>Sintel</w:t>
      </w:r>
      <w:proofErr w:type="spellEnd"/>
      <w:r>
        <w:rPr>
          <w:b/>
          <w:bCs/>
          <w:color w:val="000000"/>
          <w:sz w:val="22"/>
          <w:szCs w:val="22"/>
        </w:rPr>
        <w:t xml:space="preserve"> darà comunicazione al fornitore del corretto invio dell’offerta.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presentazione dell’offerta mediante </w:t>
      </w:r>
      <w:proofErr w:type="spellStart"/>
      <w:r>
        <w:rPr>
          <w:color w:val="000000"/>
          <w:sz w:val="22"/>
          <w:szCs w:val="22"/>
        </w:rPr>
        <w:t>Sintel</w:t>
      </w:r>
      <w:proofErr w:type="spellEnd"/>
      <w:r>
        <w:rPr>
          <w:color w:val="000000"/>
          <w:sz w:val="22"/>
          <w:szCs w:val="22"/>
        </w:rPr>
        <w:t xml:space="preserve">, infatti, è a totale ed esclusivo rischio del procedente, il quale si assume qualsiasi rischio in caso di mancata o tardiva ricezione dell’offerta medesima (dovuta, a titolo esemplificativo e non esaustivo, a malfunzionamenti/incompatibilità degli strumenti telematici utilizzati con la piattaforma </w:t>
      </w:r>
      <w:proofErr w:type="spellStart"/>
      <w:r>
        <w:rPr>
          <w:color w:val="000000"/>
          <w:sz w:val="22"/>
          <w:szCs w:val="22"/>
        </w:rPr>
        <w:t>Sintel</w:t>
      </w:r>
      <w:proofErr w:type="spellEnd"/>
      <w:r>
        <w:rPr>
          <w:color w:val="000000"/>
          <w:sz w:val="22"/>
          <w:szCs w:val="22"/>
        </w:rPr>
        <w:t>, a difficoltà di connessione e trasmissione, a lentezza dei collegamenti, o a qualsiasi altro motivo) restando esclusa qualsivoglia responsabilità dell’Azienda ULSS n. 8 “</w:t>
      </w:r>
      <w:proofErr w:type="spellStart"/>
      <w:r>
        <w:rPr>
          <w:color w:val="000000"/>
          <w:sz w:val="22"/>
          <w:szCs w:val="22"/>
        </w:rPr>
        <w:t>Berica</w:t>
      </w:r>
      <w:proofErr w:type="spellEnd"/>
      <w:r>
        <w:rPr>
          <w:color w:val="000000"/>
          <w:sz w:val="22"/>
          <w:szCs w:val="22"/>
        </w:rPr>
        <w:t>” che, ove per ritardo o disguidi tecnici o di altra natura, ovvero per qualsiasi motivo, l’offerta non pervenga entro il previsto termine perentorio di scadenza, si riserva, comunque, di adottare i provvedimenti che riterrà necessari nel caso di malfunzionamento del Sistema.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Al concorrente è richiesto di allegare, quale parte integrante dell’offerta, i documenti specificati nei successivi paragrafi. Si raccomanda la massima attenzione nell’inserire detti allegati nella sezione pertinente.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documentazione amministrativa e tecnica e l’offerta trasmesse dal concorrente a </w:t>
      </w:r>
      <w:proofErr w:type="spellStart"/>
      <w:r>
        <w:rPr>
          <w:color w:val="000000"/>
          <w:sz w:val="22"/>
          <w:szCs w:val="22"/>
        </w:rPr>
        <w:t>Sintel</w:t>
      </w:r>
      <w:proofErr w:type="spellEnd"/>
      <w:r>
        <w:rPr>
          <w:color w:val="000000"/>
          <w:sz w:val="22"/>
          <w:szCs w:val="22"/>
        </w:rPr>
        <w:t xml:space="preserve"> sono mantenute segrete e riservate dal Sistema e conservate in appositi documenti informatici (o file, denominati “buste telematiche”).</w:t>
      </w:r>
    </w:p>
    <w:p w:rsidR="00065EFA" w:rsidRDefault="00A73CA4">
      <w:pPr>
        <w:pBdr>
          <w:top w:val="nil"/>
          <w:left w:val="nil"/>
          <w:bottom w:val="nil"/>
          <w:right w:val="nil"/>
          <w:between w:val="nil"/>
        </w:pBdr>
        <w:jc w:val="both"/>
        <w:rPr>
          <w:color w:val="000000"/>
          <w:sz w:val="22"/>
          <w:szCs w:val="22"/>
        </w:rPr>
      </w:pPr>
      <w:r>
        <w:rPr>
          <w:color w:val="000000"/>
          <w:sz w:val="22"/>
          <w:szCs w:val="22"/>
        </w:rPr>
        <w:t>In caso di partecipazione alla procedura in forma associata, R.T.I. costituito o costituendo e Consorzio, sarà l’impresa mandataria o designata tale ad utilizzare ed operare in Piattaforma come unico soggetto abilitato ad operare attraverso la medesima.</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merito alle diverse modalità di forma di aggregazione ed alle modalità di registrazione a </w:t>
      </w:r>
      <w:proofErr w:type="spellStart"/>
      <w:r>
        <w:rPr>
          <w:color w:val="000000"/>
          <w:sz w:val="22"/>
          <w:szCs w:val="22"/>
        </w:rPr>
        <w:t>Sintel</w:t>
      </w:r>
      <w:proofErr w:type="spellEnd"/>
      <w:r>
        <w:rPr>
          <w:color w:val="000000"/>
          <w:sz w:val="22"/>
          <w:szCs w:val="22"/>
        </w:rPr>
        <w:t xml:space="preserve"> per la partecipazione in forma aggregata, si rimanda a quanto indicato nell’ Allegato “Modalità Tecniche utilizzo Piattaforma </w:t>
      </w:r>
      <w:proofErr w:type="spellStart"/>
      <w:r>
        <w:rPr>
          <w:color w:val="000000"/>
          <w:sz w:val="22"/>
          <w:szCs w:val="22"/>
        </w:rPr>
        <w:t>Sintel</w:t>
      </w:r>
      <w:proofErr w:type="spellEnd"/>
      <w:r>
        <w:rPr>
          <w:color w:val="000000"/>
          <w:sz w:val="22"/>
          <w:szCs w:val="22"/>
        </w:rPr>
        <w:t>”.</w:t>
      </w:r>
    </w:p>
    <w:p w:rsidR="00065EFA" w:rsidRDefault="00A73CA4">
      <w:pPr>
        <w:pBdr>
          <w:top w:val="nil"/>
          <w:left w:val="nil"/>
          <w:bottom w:val="nil"/>
          <w:right w:val="nil"/>
          <w:between w:val="nil"/>
        </w:pBdr>
        <w:jc w:val="both"/>
        <w:rPr>
          <w:color w:val="000000"/>
          <w:sz w:val="22"/>
          <w:szCs w:val="22"/>
        </w:rPr>
      </w:pPr>
      <w:r>
        <w:rPr>
          <w:color w:val="000000"/>
          <w:sz w:val="22"/>
          <w:szCs w:val="22"/>
        </w:rPr>
        <w:t>Per le modalità di sottoscrizione dei documenti che compongono l’offerta, si veda quanto stabilito nel presente Disciplinare.</w:t>
      </w:r>
    </w:p>
    <w:p w:rsidR="00065EFA" w:rsidRDefault="00065EFA">
      <w:pPr>
        <w:pBdr>
          <w:top w:val="nil"/>
          <w:left w:val="nil"/>
          <w:bottom w:val="nil"/>
          <w:right w:val="nil"/>
          <w:between w:val="nil"/>
        </w:pBdr>
        <w:jc w:val="both"/>
        <w:rPr>
          <w:color w:val="000000"/>
          <w:sz w:val="22"/>
          <w:szCs w:val="22"/>
          <w:highlight w:val="yellow"/>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“BUSTA 1 – DOCUMENTAZIONE AMMINISTRATIVA” – Step 1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Al primo step del percorso guidato “Invia offerta”, con riferimento alla Documentazione amministrativa è necessario predisporre i documenti di seguito elencati, </w:t>
      </w:r>
      <w:r>
        <w:rPr>
          <w:b/>
          <w:bCs/>
          <w:color w:val="000000"/>
          <w:sz w:val="22"/>
          <w:szCs w:val="22"/>
        </w:rPr>
        <w:t>in formato PDF</w:t>
      </w:r>
      <w:r>
        <w:rPr>
          <w:color w:val="000000"/>
          <w:sz w:val="22"/>
          <w:szCs w:val="22"/>
        </w:rPr>
        <w:t xml:space="preserve">, </w:t>
      </w:r>
      <w:r>
        <w:rPr>
          <w:b/>
          <w:bCs/>
          <w:color w:val="000000"/>
          <w:sz w:val="22"/>
          <w:szCs w:val="22"/>
        </w:rPr>
        <w:t xml:space="preserve">firmati digitalmente dal Legale Rappresentante, </w:t>
      </w:r>
      <w:r>
        <w:rPr>
          <w:color w:val="000000"/>
          <w:sz w:val="22"/>
          <w:szCs w:val="22"/>
        </w:rPr>
        <w:t>compressi in un'unica cartella (non firmata digitalmente) in formato elettronico .zip ovvero .</w:t>
      </w:r>
      <w:proofErr w:type="spellStart"/>
      <w:r>
        <w:rPr>
          <w:color w:val="000000"/>
          <w:sz w:val="22"/>
          <w:szCs w:val="22"/>
        </w:rPr>
        <w:t>rar</w:t>
      </w:r>
      <w:proofErr w:type="spellEnd"/>
      <w:r>
        <w:rPr>
          <w:color w:val="000000"/>
          <w:sz w:val="22"/>
          <w:szCs w:val="22"/>
        </w:rPr>
        <w:t xml:space="preserve">. ovvero .7z ovvero equivalenti software di compressione dati, da allegare a Sistema, nell’apposito campo “Documentazione amministrativa 1” (si fa presente che nel caso in cui lo spazio a disposizione nella cartella “Documentazione amministrativa 1” (100 MB) non sia sufficiente, il concorrente potrà inserire la restante documentazione nelle ulteriori cartelle a disposizione denominate “Documentazione amministrativa 2”, “Documentazione amministrativa 3”, etc.): </w:t>
      </w:r>
    </w:p>
    <w:p w:rsidR="00065EFA" w:rsidRDefault="00065EFA">
      <w:pPr>
        <w:pBdr>
          <w:top w:val="nil"/>
          <w:left w:val="nil"/>
          <w:bottom w:val="nil"/>
          <w:right w:val="nil"/>
          <w:between w:val="nil"/>
        </w:pBdr>
        <w:jc w:val="both"/>
        <w:rPr>
          <w:color w:val="000000"/>
          <w:sz w:val="22"/>
          <w:szCs w:val="22"/>
        </w:rPr>
      </w:pPr>
    </w:p>
    <w:p w:rsidR="00065EFA" w:rsidRDefault="00A73CA4">
      <w:pPr>
        <w:numPr>
          <w:ilvl w:val="0"/>
          <w:numId w:val="12"/>
        </w:numPr>
        <w:pBdr>
          <w:top w:val="nil"/>
          <w:left w:val="nil"/>
          <w:bottom w:val="nil"/>
          <w:right w:val="nil"/>
          <w:between w:val="nil"/>
        </w:pBdr>
        <w:ind w:left="360"/>
        <w:jc w:val="both"/>
        <w:rPr>
          <w:color w:val="000000"/>
          <w:sz w:val="22"/>
          <w:szCs w:val="22"/>
        </w:rPr>
      </w:pPr>
      <w:r>
        <w:rPr>
          <w:b/>
          <w:bCs/>
          <w:color w:val="000000"/>
          <w:sz w:val="22"/>
          <w:szCs w:val="22"/>
        </w:rPr>
        <w:t>Dichiarazione sostitutiva</w:t>
      </w:r>
      <w:r>
        <w:rPr>
          <w:color w:val="000000"/>
          <w:sz w:val="22"/>
          <w:szCs w:val="22"/>
        </w:rPr>
        <w:t>, da redigersi secondo l’“</w:t>
      </w:r>
      <w:r>
        <w:rPr>
          <w:b/>
          <w:bCs/>
          <w:i/>
          <w:iCs/>
          <w:color w:val="000000"/>
          <w:sz w:val="22"/>
          <w:szCs w:val="22"/>
        </w:rPr>
        <w:t>Allegato A</w:t>
      </w:r>
      <w:r>
        <w:rPr>
          <w:color w:val="000000"/>
          <w:sz w:val="22"/>
          <w:szCs w:val="22"/>
        </w:rPr>
        <w:t xml:space="preserve">” predisposto dalla Stazione Appaltante e scaricabile dal sito internet aziendale </w:t>
      </w:r>
      <w:r>
        <w:rPr>
          <w:color w:val="0000FF"/>
          <w:sz w:val="22"/>
          <w:szCs w:val="22"/>
        </w:rPr>
        <w:t xml:space="preserve">https://www.aulss8.veneto.it/appalti/?jsf=jet-engine:grid-7&amp;tax=tipologia-appalti-gare:290 </w:t>
      </w:r>
      <w:r>
        <w:rPr>
          <w:color w:val="000000"/>
          <w:sz w:val="22"/>
          <w:szCs w:val="22"/>
        </w:rPr>
        <w:t xml:space="preserve">nella sezione “Appalti &gt; Documentazione” - nome del file “Allegato A: dichiarazione sostitutiva.pdf” (è disponibile anche una versione editabile) e sottoscritta dal titolare o legale rappresentante o institore o procuratore oppure, per i concorrenti non residenti in Italia, documentazione </w:t>
      </w:r>
      <w:r>
        <w:rPr>
          <w:color w:val="000000"/>
          <w:sz w:val="22"/>
          <w:szCs w:val="22"/>
        </w:rPr>
        <w:lastRenderedPageBreak/>
        <w:t xml:space="preserve">idonea equivalente secondo la legislazione dello Stato di appartenenza, a firma di un legale rappresentante dell’impresa; </w:t>
      </w:r>
    </w:p>
    <w:p w:rsidR="00065EFA" w:rsidRDefault="00065EFA">
      <w:pPr>
        <w:pBdr>
          <w:top w:val="nil"/>
          <w:left w:val="nil"/>
          <w:bottom w:val="nil"/>
          <w:right w:val="nil"/>
          <w:between w:val="nil"/>
        </w:pBdr>
        <w:ind w:left="360"/>
        <w:jc w:val="both"/>
        <w:rPr>
          <w:color w:val="000000"/>
          <w:sz w:val="22"/>
          <w:szCs w:val="22"/>
        </w:rPr>
      </w:pPr>
    </w:p>
    <w:p w:rsidR="00065EFA" w:rsidRDefault="00A73CA4">
      <w:pPr>
        <w:numPr>
          <w:ilvl w:val="0"/>
          <w:numId w:val="12"/>
        </w:numPr>
        <w:pBdr>
          <w:top w:val="nil"/>
          <w:left w:val="nil"/>
          <w:bottom w:val="nil"/>
          <w:right w:val="nil"/>
          <w:between w:val="nil"/>
        </w:pBdr>
        <w:ind w:left="426"/>
        <w:jc w:val="both"/>
        <w:rPr>
          <w:color w:val="000000"/>
          <w:sz w:val="22"/>
          <w:szCs w:val="22"/>
        </w:rPr>
      </w:pPr>
      <w:r>
        <w:rPr>
          <w:b/>
          <w:bCs/>
          <w:color w:val="000000"/>
          <w:sz w:val="22"/>
          <w:szCs w:val="22"/>
        </w:rPr>
        <w:t>DGUE</w:t>
      </w:r>
      <w:r>
        <w:rPr>
          <w:color w:val="000000"/>
          <w:sz w:val="22"/>
          <w:szCs w:val="22"/>
        </w:rPr>
        <w:t xml:space="preserve"> </w:t>
      </w:r>
      <w:proofErr w:type="spellStart"/>
      <w:r>
        <w:rPr>
          <w:b/>
          <w:bCs/>
          <w:color w:val="000000"/>
          <w:sz w:val="22"/>
          <w:szCs w:val="22"/>
        </w:rPr>
        <w:t>response</w:t>
      </w:r>
      <w:proofErr w:type="spellEnd"/>
      <w:r>
        <w:rPr>
          <w:color w:val="000000"/>
          <w:sz w:val="22"/>
          <w:szCs w:val="22"/>
        </w:rPr>
        <w:t xml:space="preserve">” in formato .xml e in formato .pdf: l’operatore economico dovrà presentare il “DGUE </w:t>
      </w:r>
      <w:proofErr w:type="spellStart"/>
      <w:r>
        <w:rPr>
          <w:color w:val="000000"/>
          <w:sz w:val="22"/>
          <w:szCs w:val="22"/>
        </w:rPr>
        <w:t>response</w:t>
      </w:r>
      <w:proofErr w:type="spellEnd"/>
      <w:r>
        <w:rPr>
          <w:color w:val="000000"/>
          <w:sz w:val="22"/>
          <w:szCs w:val="22"/>
        </w:rPr>
        <w:t xml:space="preserve">” - compilato con le informazioni richieste e generato dal concorrente sulla base di quello reso disponibile dalla Stazione Appaltante (allegato "DGUE </w:t>
      </w:r>
      <w:proofErr w:type="spellStart"/>
      <w:r>
        <w:rPr>
          <w:color w:val="000000"/>
          <w:sz w:val="22"/>
          <w:szCs w:val="22"/>
        </w:rPr>
        <w:t>request</w:t>
      </w:r>
      <w:proofErr w:type="spellEnd"/>
      <w:r>
        <w:rPr>
          <w:color w:val="000000"/>
          <w:sz w:val="22"/>
          <w:szCs w:val="22"/>
        </w:rPr>
        <w:t>”) - in formato .xml, sia nella versione firmata digitalmente sia nella versione priva di firma, ed in formato .pdf, anch’esso anche nella versione firmata digitalmente;</w:t>
      </w:r>
    </w:p>
    <w:p w:rsidR="00065EFA" w:rsidRDefault="00065EFA">
      <w:pPr>
        <w:pBdr>
          <w:top w:val="nil"/>
          <w:left w:val="nil"/>
          <w:bottom w:val="nil"/>
          <w:right w:val="nil"/>
          <w:between w:val="nil"/>
        </w:pBdr>
        <w:rPr>
          <w:color w:val="000000"/>
          <w:sz w:val="22"/>
          <w:szCs w:val="22"/>
        </w:rPr>
      </w:pPr>
    </w:p>
    <w:p w:rsidR="00065EFA" w:rsidRDefault="00A73CA4">
      <w:pPr>
        <w:numPr>
          <w:ilvl w:val="0"/>
          <w:numId w:val="12"/>
        </w:numPr>
        <w:pBdr>
          <w:top w:val="nil"/>
          <w:left w:val="nil"/>
          <w:bottom w:val="nil"/>
          <w:right w:val="nil"/>
          <w:between w:val="nil"/>
        </w:pBdr>
        <w:ind w:left="360"/>
        <w:jc w:val="both"/>
        <w:rPr>
          <w:color w:val="000000"/>
          <w:sz w:val="22"/>
          <w:szCs w:val="22"/>
        </w:rPr>
      </w:pPr>
      <w:r>
        <w:rPr>
          <w:b/>
          <w:bCs/>
          <w:color w:val="000000"/>
          <w:sz w:val="22"/>
          <w:szCs w:val="22"/>
        </w:rPr>
        <w:t xml:space="preserve">Deposito cauzionale provvisorio </w:t>
      </w:r>
      <w:r>
        <w:rPr>
          <w:color w:val="000000"/>
          <w:sz w:val="22"/>
          <w:szCs w:val="22"/>
        </w:rPr>
        <w:t xml:space="preserve">costituito nei termini e con le modalità di cui all’art. 4 del presente disciplinare, ai sensi dell’art. 106 del d.lgs. 36/2023 Nel caso in cui il Concorrente intenda avvalersi di una o più possibilità di riduzione dell’importo del Deposito Cauzionale provvisorio, prevista dall’art. 106 comma 8 del d.lgs. 36/, dovrà essere prodotta copia dichiarata conforme all’originale, ai sensi degli artt. 18 e 19 del D.P.R.445/2000, della certificazione comprovante il possesso dei requisiti che si intende far valere al fine della relativa riduzione; </w:t>
      </w:r>
    </w:p>
    <w:p w:rsidR="00065EFA" w:rsidRDefault="00065EFA">
      <w:pPr>
        <w:pBdr>
          <w:top w:val="nil"/>
          <w:left w:val="nil"/>
          <w:bottom w:val="nil"/>
          <w:right w:val="nil"/>
          <w:between w:val="nil"/>
        </w:pBdr>
        <w:rPr>
          <w:rFonts w:ascii="Arial" w:eastAsia="Arial" w:hAnsi="Arial" w:cs="Arial"/>
          <w:color w:val="000000"/>
          <w:sz w:val="22"/>
          <w:szCs w:val="22"/>
        </w:rPr>
      </w:pPr>
    </w:p>
    <w:p w:rsidR="00065EFA" w:rsidRDefault="00A73CA4">
      <w:pPr>
        <w:numPr>
          <w:ilvl w:val="0"/>
          <w:numId w:val="12"/>
        </w:numPr>
        <w:pBdr>
          <w:top w:val="nil"/>
          <w:left w:val="nil"/>
          <w:bottom w:val="nil"/>
          <w:right w:val="nil"/>
          <w:between w:val="nil"/>
        </w:pBdr>
        <w:ind w:left="360"/>
        <w:jc w:val="both"/>
        <w:rPr>
          <w:color w:val="000000"/>
          <w:sz w:val="22"/>
          <w:szCs w:val="22"/>
        </w:rPr>
      </w:pPr>
      <w:r>
        <w:rPr>
          <w:b/>
          <w:bCs/>
          <w:color w:val="000000"/>
          <w:sz w:val="22"/>
          <w:szCs w:val="22"/>
        </w:rPr>
        <w:t xml:space="preserve">Attestazione </w:t>
      </w:r>
      <w:r>
        <w:rPr>
          <w:color w:val="000000"/>
          <w:sz w:val="22"/>
          <w:szCs w:val="22"/>
        </w:rPr>
        <w:t xml:space="preserve">dell’avvenuto pagamento della contribuzione a favore dell’Autorità Nazionale Anticorruzione, per l’importo di seguito indicato: </w:t>
      </w:r>
    </w:p>
    <w:p w:rsidR="00065EFA" w:rsidRDefault="00065EFA">
      <w:pPr>
        <w:pBdr>
          <w:top w:val="nil"/>
          <w:left w:val="nil"/>
          <w:bottom w:val="nil"/>
          <w:right w:val="nil"/>
          <w:between w:val="nil"/>
        </w:pBdr>
        <w:rPr>
          <w:color w:val="000000"/>
          <w:sz w:val="22"/>
          <w:szCs w:val="22"/>
        </w:rPr>
      </w:pPr>
    </w:p>
    <w:tbl>
      <w:tblPr>
        <w:tblStyle w:val="a7"/>
        <w:tblW w:w="4538" w:type="dxa"/>
        <w:tblInd w:w="9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69"/>
        <w:gridCol w:w="2269"/>
      </w:tblGrid>
      <w:tr w:rsidR="00065EFA">
        <w:trPr>
          <w:trHeight w:val="100"/>
        </w:trPr>
        <w:tc>
          <w:tcPr>
            <w:tcW w:w="2269" w:type="dxa"/>
          </w:tcPr>
          <w:p w:rsidR="00065EFA" w:rsidRDefault="00A73CA4">
            <w:pPr>
              <w:pBdr>
                <w:top w:val="nil"/>
                <w:left w:val="nil"/>
                <w:bottom w:val="nil"/>
                <w:right w:val="nil"/>
                <w:between w:val="nil"/>
              </w:pBdr>
              <w:rPr>
                <w:color w:val="000000"/>
                <w:sz w:val="22"/>
                <w:szCs w:val="22"/>
              </w:rPr>
            </w:pPr>
            <w:r>
              <w:rPr>
                <w:color w:val="000000"/>
                <w:sz w:val="22"/>
                <w:szCs w:val="22"/>
              </w:rPr>
              <w:t xml:space="preserve">CIG: </w:t>
            </w:r>
          </w:p>
        </w:tc>
        <w:tc>
          <w:tcPr>
            <w:tcW w:w="2269" w:type="dxa"/>
          </w:tcPr>
          <w:p w:rsidR="00065EFA" w:rsidRDefault="00A73CA4">
            <w:pPr>
              <w:pBdr>
                <w:top w:val="nil"/>
                <w:left w:val="nil"/>
                <w:bottom w:val="nil"/>
                <w:right w:val="nil"/>
                <w:between w:val="nil"/>
              </w:pBdr>
              <w:rPr>
                <w:color w:val="000000"/>
                <w:sz w:val="22"/>
                <w:szCs w:val="22"/>
              </w:rPr>
            </w:pPr>
            <w:r>
              <w:rPr>
                <w:color w:val="000000"/>
                <w:sz w:val="22"/>
                <w:szCs w:val="22"/>
              </w:rPr>
              <w:t xml:space="preserve">Importo contributo ANAC </w:t>
            </w:r>
          </w:p>
        </w:tc>
      </w:tr>
      <w:tr w:rsidR="00065EFA">
        <w:trPr>
          <w:trHeight w:val="100"/>
        </w:trPr>
        <w:tc>
          <w:tcPr>
            <w:tcW w:w="2269" w:type="dxa"/>
          </w:tcPr>
          <w:p w:rsidR="00065EFA" w:rsidRDefault="00D54EE1">
            <w:pPr>
              <w:pBdr>
                <w:top w:val="nil"/>
                <w:left w:val="nil"/>
                <w:bottom w:val="nil"/>
                <w:right w:val="nil"/>
                <w:between w:val="nil"/>
              </w:pBdr>
              <w:rPr>
                <w:color w:val="000000"/>
                <w:sz w:val="22"/>
                <w:szCs w:val="22"/>
              </w:rPr>
            </w:pPr>
            <w:r w:rsidRPr="00D54EE1">
              <w:rPr>
                <w:color w:val="000000"/>
                <w:sz w:val="22"/>
                <w:szCs w:val="22"/>
              </w:rPr>
              <w:t>BA1DE87935</w:t>
            </w:r>
          </w:p>
        </w:tc>
        <w:tc>
          <w:tcPr>
            <w:tcW w:w="2269" w:type="dxa"/>
          </w:tcPr>
          <w:p w:rsidR="00065EFA" w:rsidRDefault="00A73CA4">
            <w:pPr>
              <w:pBdr>
                <w:top w:val="nil"/>
                <w:left w:val="nil"/>
                <w:bottom w:val="nil"/>
                <w:right w:val="nil"/>
                <w:between w:val="nil"/>
              </w:pBdr>
              <w:rPr>
                <w:color w:val="000000"/>
                <w:sz w:val="22"/>
                <w:szCs w:val="22"/>
              </w:rPr>
            </w:pPr>
            <w:r>
              <w:rPr>
                <w:color w:val="000000"/>
                <w:sz w:val="22"/>
                <w:szCs w:val="22"/>
              </w:rPr>
              <w:t>18,00</w:t>
            </w:r>
          </w:p>
        </w:tc>
      </w:tr>
    </w:tbl>
    <w:p w:rsidR="00065EFA" w:rsidRDefault="00065EFA">
      <w:pPr>
        <w:pBdr>
          <w:top w:val="nil"/>
          <w:left w:val="nil"/>
          <w:bottom w:val="nil"/>
          <w:right w:val="nil"/>
          <w:between w:val="nil"/>
        </w:pBdr>
        <w:ind w:left="708"/>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pagamento della contribuzione dovrà avvenire con riferimento alla delibera ANAC n. 610 del 19/12/2023, pubblicata al </w:t>
      </w:r>
      <w:proofErr w:type="gramStart"/>
      <w:r>
        <w:rPr>
          <w:color w:val="000000"/>
          <w:sz w:val="22"/>
          <w:szCs w:val="22"/>
        </w:rPr>
        <w:t xml:space="preserve">link </w:t>
      </w:r>
      <w:r>
        <w:rPr>
          <w:rFonts w:ascii="Cambria" w:eastAsia="Cambria" w:hAnsi="Cambria" w:cs="Cambria"/>
          <w:i/>
          <w:iCs/>
          <w:color w:val="000000"/>
          <w:sz w:val="18"/>
          <w:szCs w:val="18"/>
        </w:rPr>
        <w:t>:</w:t>
      </w:r>
      <w:proofErr w:type="gramEnd"/>
      <w:r>
        <w:rPr>
          <w:rFonts w:ascii="Cambria" w:eastAsia="Cambria" w:hAnsi="Cambria" w:cs="Cambria"/>
          <w:i/>
          <w:iCs/>
          <w:color w:val="000000"/>
          <w:sz w:val="18"/>
          <w:szCs w:val="18"/>
        </w:rPr>
        <w:t xml:space="preserve"> </w:t>
      </w:r>
      <w:r>
        <w:rPr>
          <w:rFonts w:ascii="Cambria" w:eastAsia="Cambria" w:hAnsi="Cambria" w:cs="Cambria"/>
          <w:i/>
          <w:iCs/>
          <w:color w:val="0462C1"/>
          <w:sz w:val="18"/>
          <w:szCs w:val="18"/>
        </w:rPr>
        <w:t xml:space="preserve">https://www.anticorruzione.it/-/portale-dei-pagamenti-di-anac </w:t>
      </w:r>
      <w:r>
        <w:rPr>
          <w:color w:val="000000"/>
          <w:sz w:val="22"/>
          <w:szCs w:val="22"/>
        </w:rPr>
        <w:t xml:space="preserve">nel quale sono presenti anche le indicazioni sulle modalità di pagamento del contributo stesso. Il pagamento del contributo è condizione di ammissibilità dell’offerta; per i Raggruppamenti Temporanei d’Imprese il versamento è unico ed effettuato dalla Capofila. </w:t>
      </w:r>
    </w:p>
    <w:p w:rsidR="00065EFA" w:rsidRDefault="00A73CA4">
      <w:pPr>
        <w:pBdr>
          <w:top w:val="nil"/>
          <w:left w:val="nil"/>
          <w:bottom w:val="nil"/>
          <w:right w:val="nil"/>
          <w:between w:val="nil"/>
        </w:pBdr>
        <w:rPr>
          <w:color w:val="000000"/>
          <w:sz w:val="22"/>
          <w:szCs w:val="22"/>
        </w:rPr>
      </w:pPr>
      <w:r>
        <w:rPr>
          <w:b/>
          <w:bCs/>
          <w:color w:val="000000"/>
          <w:sz w:val="22"/>
          <w:szCs w:val="22"/>
        </w:rPr>
        <w:t xml:space="preserve">Per quanto ivi non indicato si rimanda all’Allegato “Modalità Tecniche utilizzo Piattaforma </w:t>
      </w:r>
      <w:proofErr w:type="spellStart"/>
      <w:r>
        <w:rPr>
          <w:b/>
          <w:bCs/>
          <w:color w:val="000000"/>
          <w:sz w:val="22"/>
          <w:szCs w:val="22"/>
        </w:rPr>
        <w:t>Sintel</w:t>
      </w:r>
      <w:proofErr w:type="spellEnd"/>
      <w:r>
        <w:rPr>
          <w:b/>
          <w:bCs/>
          <w:color w:val="000000"/>
          <w:sz w:val="22"/>
          <w:szCs w:val="22"/>
        </w:rPr>
        <w:t xml:space="preserve">”. </w:t>
      </w:r>
    </w:p>
    <w:p w:rsidR="00065EFA" w:rsidRDefault="00A73CA4">
      <w:pPr>
        <w:pBdr>
          <w:top w:val="nil"/>
          <w:left w:val="nil"/>
          <w:bottom w:val="nil"/>
          <w:right w:val="nil"/>
          <w:between w:val="nil"/>
        </w:pBdr>
        <w:jc w:val="both"/>
        <w:rPr>
          <w:color w:val="000000"/>
          <w:sz w:val="22"/>
          <w:szCs w:val="22"/>
        </w:rPr>
      </w:pPr>
      <w:r>
        <w:rPr>
          <w:b/>
          <w:bCs/>
          <w:color w:val="000000"/>
          <w:sz w:val="22"/>
          <w:szCs w:val="22"/>
        </w:rPr>
        <w:t xml:space="preserve">Si precisa, altresì, che, qualora l’operatore necessiti di allegare più di un documento per campo </w:t>
      </w:r>
      <w:proofErr w:type="spellStart"/>
      <w:r>
        <w:rPr>
          <w:b/>
          <w:bCs/>
          <w:color w:val="000000"/>
          <w:sz w:val="22"/>
          <w:szCs w:val="22"/>
        </w:rPr>
        <w:t>Sintel</w:t>
      </w:r>
      <w:proofErr w:type="spellEnd"/>
      <w:r>
        <w:rPr>
          <w:b/>
          <w:bCs/>
          <w:color w:val="000000"/>
          <w:sz w:val="22"/>
          <w:szCs w:val="22"/>
        </w:rPr>
        <w:t>, essi dovranno essere aggregati in un unico file compresso (non firmato digitalmente) in formato elettronico .zip ovvero .</w:t>
      </w:r>
      <w:proofErr w:type="spellStart"/>
      <w:r>
        <w:rPr>
          <w:b/>
          <w:bCs/>
          <w:color w:val="000000"/>
          <w:sz w:val="22"/>
          <w:szCs w:val="22"/>
        </w:rPr>
        <w:t>rar</w:t>
      </w:r>
      <w:proofErr w:type="spellEnd"/>
      <w:r>
        <w:rPr>
          <w:b/>
          <w:bCs/>
          <w:color w:val="000000"/>
          <w:sz w:val="22"/>
          <w:szCs w:val="22"/>
        </w:rPr>
        <w:t xml:space="preserve"> ovvero .7z ovvero equivalenti software di compressione dati, come meglio precisato nell’Allegato Modalità Tecniche utilizzo Piattaforma </w:t>
      </w:r>
      <w:proofErr w:type="spellStart"/>
      <w:r>
        <w:rPr>
          <w:b/>
          <w:bCs/>
          <w:color w:val="000000"/>
          <w:sz w:val="22"/>
          <w:szCs w:val="22"/>
        </w:rPr>
        <w:t>Sintel</w:t>
      </w:r>
      <w:proofErr w:type="spellEnd"/>
      <w:r>
        <w:rPr>
          <w:b/>
          <w:bCs/>
          <w:color w:val="000000"/>
          <w:sz w:val="22"/>
          <w:szCs w:val="22"/>
        </w:rPr>
        <w:t xml:space="preserve"> del presente Disciplinare.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“BUSTA 2 – DOCUMENTAZIONE TECNICA” - Step 2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Allo step 2 “Offerta tecnica” del percorso guidato “Invia offerta”, il concorrente dovrà inserire a Sistema, nell’apposito campo “Documentazione Tecnica 1”, una cartella compressa (non firmata digitalmente) in formato elettronico .zip ovvero .</w:t>
      </w:r>
      <w:proofErr w:type="spellStart"/>
      <w:r>
        <w:rPr>
          <w:color w:val="000000"/>
          <w:sz w:val="22"/>
          <w:szCs w:val="22"/>
        </w:rPr>
        <w:t>rar</w:t>
      </w:r>
      <w:proofErr w:type="spellEnd"/>
      <w:r>
        <w:rPr>
          <w:color w:val="000000"/>
          <w:sz w:val="22"/>
          <w:szCs w:val="22"/>
        </w:rPr>
        <w:t xml:space="preserve"> ovvero .7z ”(non ulteriormente suddivisa in sottocartelle compresse e non firmate digitalmente) ovvero equivalenti software di compressione dati, con tutti i documenti di seguito elencati </w:t>
      </w:r>
      <w:r>
        <w:rPr>
          <w:b/>
          <w:bCs/>
          <w:color w:val="000000"/>
          <w:sz w:val="22"/>
          <w:szCs w:val="22"/>
        </w:rPr>
        <w:t>– in formato PDF</w:t>
      </w:r>
      <w:r>
        <w:rPr>
          <w:color w:val="000000"/>
          <w:sz w:val="22"/>
          <w:szCs w:val="22"/>
        </w:rPr>
        <w:t xml:space="preserve">, </w:t>
      </w:r>
      <w:r>
        <w:rPr>
          <w:b/>
          <w:bCs/>
          <w:color w:val="000000"/>
          <w:sz w:val="22"/>
          <w:szCs w:val="22"/>
        </w:rPr>
        <w:t xml:space="preserve">firmati digitalmente dal Legale Rappresentante - </w:t>
      </w:r>
      <w:r>
        <w:rPr>
          <w:color w:val="000000"/>
          <w:sz w:val="22"/>
          <w:szCs w:val="22"/>
        </w:rPr>
        <w:t>(si fa presente che nel caso in cui lo spazio a disposizione nella cartella “Documentazione Tecnica 1” (100 MB) non fosse sufficiente, il concorrente potrà inserire la restante documentazione nelle ulteriori cartelle a disposizione denominate “Documentazione Tecnica 2”, “Documentazione Tecnica 3”, etc.</w:t>
      </w:r>
    </w:p>
    <w:p w:rsidR="00065EFA" w:rsidRDefault="00065EFA">
      <w:pPr>
        <w:pBdr>
          <w:top w:val="nil"/>
          <w:left w:val="nil"/>
          <w:bottom w:val="nil"/>
          <w:right w:val="nil"/>
          <w:between w:val="nil"/>
        </w:pBdr>
        <w:ind w:left="708"/>
        <w:rPr>
          <w:color w:val="000000"/>
          <w:sz w:val="22"/>
          <w:szCs w:val="22"/>
        </w:rPr>
      </w:pPr>
    </w:p>
    <w:p w:rsidR="00065EFA" w:rsidRDefault="00A73CA4">
      <w:pPr>
        <w:numPr>
          <w:ilvl w:val="0"/>
          <w:numId w:val="15"/>
        </w:numPr>
        <w:pBdr>
          <w:top w:val="nil"/>
          <w:left w:val="nil"/>
          <w:bottom w:val="nil"/>
          <w:right w:val="nil"/>
          <w:between w:val="nil"/>
        </w:pBdr>
        <w:ind w:right="141"/>
        <w:jc w:val="both"/>
        <w:rPr>
          <w:color w:val="000000"/>
          <w:sz w:val="22"/>
          <w:szCs w:val="22"/>
        </w:rPr>
      </w:pPr>
      <w:r>
        <w:rPr>
          <w:b/>
          <w:bCs/>
          <w:color w:val="000000"/>
          <w:sz w:val="22"/>
          <w:szCs w:val="22"/>
        </w:rPr>
        <w:t>Scheda tecnica originale</w:t>
      </w:r>
      <w:r>
        <w:rPr>
          <w:color w:val="000000"/>
          <w:sz w:val="22"/>
          <w:szCs w:val="22"/>
        </w:rPr>
        <w:t xml:space="preserve"> del produttore in lingua italiana o con traduzione allegata, nella quale devono essere espressamente indicati tutti gli elementi necessari ed indispensabili all’individuazione dei requisiti tecnici del prodotto (con indicazione di nome commerciale, descrizione prodotto, materiale, destinazione d’uso e classe di appartenenza, </w:t>
      </w:r>
      <w:r>
        <w:rPr>
          <w:color w:val="000000"/>
          <w:sz w:val="22"/>
          <w:szCs w:val="22"/>
          <w:u w:val="single"/>
        </w:rPr>
        <w:t>elenco gamma disponibile e relativi codici</w:t>
      </w:r>
      <w:r>
        <w:rPr>
          <w:color w:val="000000"/>
          <w:sz w:val="22"/>
          <w:szCs w:val="22"/>
        </w:rPr>
        <w:t>, composizione e caratteristiche di tutti i componenti dei prodotti offerti, processo di sterilizzazione adottato, codici CND e RDM, eventuali istruzioni e/o avvertenze per l’uso, in lingua italiana, chiare e complete);</w:t>
      </w:r>
    </w:p>
    <w:p w:rsidR="00065EFA" w:rsidRDefault="00A73CA4">
      <w:pPr>
        <w:widowControl w:val="0"/>
        <w:numPr>
          <w:ilvl w:val="0"/>
          <w:numId w:val="15"/>
        </w:numPr>
        <w:pBdr>
          <w:top w:val="nil"/>
          <w:left w:val="nil"/>
          <w:bottom w:val="nil"/>
          <w:right w:val="nil"/>
          <w:between w:val="nil"/>
        </w:pBdr>
        <w:jc w:val="both"/>
        <w:rPr>
          <w:color w:val="000000"/>
          <w:sz w:val="22"/>
          <w:szCs w:val="22"/>
        </w:rPr>
      </w:pPr>
      <w:r>
        <w:rPr>
          <w:b/>
          <w:bCs/>
          <w:color w:val="000000"/>
          <w:sz w:val="22"/>
          <w:szCs w:val="22"/>
        </w:rPr>
        <w:t>Offerta economica</w:t>
      </w:r>
      <w:r>
        <w:rPr>
          <w:color w:val="000000"/>
          <w:sz w:val="22"/>
          <w:szCs w:val="22"/>
        </w:rPr>
        <w:t xml:space="preserve">, </w:t>
      </w:r>
      <w:r>
        <w:rPr>
          <w:b/>
          <w:bCs/>
          <w:color w:val="000000"/>
          <w:sz w:val="22"/>
          <w:szCs w:val="22"/>
        </w:rPr>
        <w:t xml:space="preserve">priva delle indicazioni dei prezzi di offerta, </w:t>
      </w:r>
      <w:r>
        <w:rPr>
          <w:color w:val="000000"/>
          <w:sz w:val="22"/>
          <w:szCs w:val="22"/>
        </w:rPr>
        <w:t xml:space="preserve">con elenco e descrizione analitici </w:t>
      </w:r>
      <w:r>
        <w:rPr>
          <w:color w:val="000000"/>
          <w:sz w:val="22"/>
          <w:szCs w:val="22"/>
        </w:rPr>
        <w:lastRenderedPageBreak/>
        <w:t>delle apparecchiature proposte e di tutte le loro componenti (modello, casa produttrice, anno di immissione nel mercato) al fine di indicare in modo esplicito tutti gli articoli oggetto dell’offerta mediante una loro elencazione al massimo dettaglio (</w:t>
      </w:r>
      <w:r>
        <w:rPr>
          <w:b/>
          <w:bCs/>
          <w:color w:val="000000"/>
          <w:sz w:val="22"/>
          <w:szCs w:val="22"/>
        </w:rPr>
        <w:t>utilizzare l’allegato 1 -Modello Offerta economica senza prezzi);</w:t>
      </w:r>
    </w:p>
    <w:p w:rsidR="00065EFA" w:rsidRDefault="00A73CA4">
      <w:pPr>
        <w:numPr>
          <w:ilvl w:val="0"/>
          <w:numId w:val="15"/>
        </w:numPr>
        <w:pBdr>
          <w:top w:val="nil"/>
          <w:left w:val="nil"/>
          <w:bottom w:val="nil"/>
          <w:right w:val="nil"/>
          <w:between w:val="nil"/>
        </w:pBdr>
        <w:ind w:right="141"/>
        <w:jc w:val="both"/>
        <w:rPr>
          <w:color w:val="000000"/>
          <w:sz w:val="22"/>
          <w:szCs w:val="22"/>
        </w:rPr>
      </w:pPr>
      <w:r>
        <w:rPr>
          <w:b/>
          <w:bCs/>
          <w:color w:val="000000"/>
          <w:sz w:val="22"/>
          <w:szCs w:val="22"/>
        </w:rPr>
        <w:t>Dichiarazione del produttore attestante</w:t>
      </w:r>
      <w:r>
        <w:rPr>
          <w:color w:val="000000"/>
          <w:sz w:val="22"/>
          <w:szCs w:val="22"/>
        </w:rPr>
        <w:t>: possesso della marcatura CE, indicazione della classe di appartenenza ed indicazione dell’organismo notificato che ha rilasciato la certificazione CE;</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1D1B11"/>
          <w:sz w:val="22"/>
          <w:szCs w:val="22"/>
        </w:rPr>
        <w:t>Copia del Certificato CE</w:t>
      </w:r>
      <w:r>
        <w:rPr>
          <w:color w:val="000000"/>
          <w:sz w:val="22"/>
          <w:szCs w:val="22"/>
        </w:rPr>
        <w:t>;</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Dichiarazione indicante la ditta produttrice e lo stabilimento di produzione;</w:t>
      </w:r>
    </w:p>
    <w:p w:rsidR="00065EFA" w:rsidRDefault="00A73CA4">
      <w:pPr>
        <w:numPr>
          <w:ilvl w:val="0"/>
          <w:numId w:val="15"/>
        </w:numPr>
        <w:pBdr>
          <w:top w:val="nil"/>
          <w:left w:val="nil"/>
          <w:bottom w:val="nil"/>
          <w:right w:val="nil"/>
          <w:between w:val="nil"/>
        </w:pBdr>
        <w:rPr>
          <w:color w:val="000000"/>
          <w:sz w:val="22"/>
          <w:szCs w:val="22"/>
        </w:rPr>
      </w:pPr>
      <w:r>
        <w:rPr>
          <w:color w:val="000000"/>
          <w:sz w:val="22"/>
          <w:szCs w:val="22"/>
        </w:rPr>
        <w:t>Dichiarazione del produttore attestante l’iscrizione al Repertorio Nazionale dei Dispositivi Medici con l’indicazione del numero di Repertorio attribuito e della classe CND di appartenenza;</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Dichiarazione che trattasi di prodotti “latex free” resa dal fabbricante del dispositivo medico sia nei costituenti dei dispositivi medici sia nel confezionamento primario e nel materiale usato nei processi di produzione;</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Dichiarazione congiunta con il “produttore” attestante la rivendita in esclusiva del materiale richiesto (in caso di prodotti distribuiti in esclusiva);</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Copia dell’IFU presente nella confezione di vendita;</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Copia dell’etichetta;</w:t>
      </w:r>
    </w:p>
    <w:p w:rsidR="00065EFA" w:rsidRDefault="00A73CA4">
      <w:pPr>
        <w:numPr>
          <w:ilvl w:val="0"/>
          <w:numId w:val="15"/>
        </w:numPr>
        <w:pBdr>
          <w:top w:val="nil"/>
          <w:left w:val="nil"/>
          <w:bottom w:val="nil"/>
          <w:right w:val="nil"/>
          <w:between w:val="nil"/>
        </w:pBdr>
        <w:ind w:right="141"/>
        <w:jc w:val="both"/>
        <w:rPr>
          <w:color w:val="000000"/>
          <w:sz w:val="22"/>
          <w:szCs w:val="22"/>
        </w:rPr>
      </w:pPr>
      <w:r>
        <w:rPr>
          <w:color w:val="000000"/>
          <w:sz w:val="22"/>
          <w:szCs w:val="22"/>
        </w:rPr>
        <w:t>Eventuali stampati e/o pubblicazioni esplicativi delle caratteristiche strutturali e/o qualitative relative ai dispositivi che la ditta ritenga opportuno presentare;</w:t>
      </w:r>
    </w:p>
    <w:p w:rsidR="00065EFA" w:rsidRDefault="00A73CA4">
      <w:pPr>
        <w:numPr>
          <w:ilvl w:val="0"/>
          <w:numId w:val="15"/>
        </w:numPr>
        <w:pBdr>
          <w:top w:val="nil"/>
          <w:left w:val="nil"/>
          <w:bottom w:val="nil"/>
          <w:right w:val="nil"/>
          <w:between w:val="nil"/>
        </w:pBdr>
        <w:jc w:val="both"/>
        <w:rPr>
          <w:color w:val="000000"/>
          <w:sz w:val="22"/>
          <w:szCs w:val="22"/>
        </w:rPr>
      </w:pPr>
      <w:r>
        <w:rPr>
          <w:b/>
          <w:bCs/>
          <w:color w:val="000000"/>
          <w:sz w:val="22"/>
          <w:szCs w:val="22"/>
        </w:rPr>
        <w:t xml:space="preserve">TABELLA di richiesta dati UDI, mediante la compilazione dell’allegato 3 “Richiesta dati UDI”. </w:t>
      </w:r>
      <w:r>
        <w:rPr>
          <w:color w:val="000000"/>
          <w:sz w:val="22"/>
          <w:szCs w:val="22"/>
        </w:rPr>
        <w:t xml:space="preserve">Si chiede di allegare il file compilato anche in </w:t>
      </w:r>
      <w:r>
        <w:rPr>
          <w:b/>
          <w:bCs/>
          <w:color w:val="000000"/>
          <w:sz w:val="22"/>
          <w:szCs w:val="22"/>
          <w:u w:val="single"/>
        </w:rPr>
        <w:t xml:space="preserve">formato </w:t>
      </w:r>
      <w:proofErr w:type="spellStart"/>
      <w:r>
        <w:rPr>
          <w:b/>
          <w:bCs/>
          <w:color w:val="000000"/>
          <w:sz w:val="22"/>
          <w:szCs w:val="22"/>
          <w:u w:val="single"/>
        </w:rPr>
        <w:t>excel</w:t>
      </w:r>
      <w:proofErr w:type="spellEnd"/>
      <w:r>
        <w:rPr>
          <w:b/>
          <w:bCs/>
          <w:color w:val="000000"/>
          <w:sz w:val="22"/>
          <w:szCs w:val="22"/>
          <w:u w:val="single"/>
        </w:rPr>
        <w:t>.</w:t>
      </w:r>
    </w:p>
    <w:p w:rsidR="00065EFA" w:rsidRDefault="00A73CA4">
      <w:pPr>
        <w:numPr>
          <w:ilvl w:val="0"/>
          <w:numId w:val="15"/>
        </w:numPr>
        <w:pBdr>
          <w:top w:val="nil"/>
          <w:left w:val="nil"/>
          <w:bottom w:val="nil"/>
          <w:right w:val="nil"/>
          <w:between w:val="nil"/>
        </w:pBdr>
        <w:jc w:val="both"/>
        <w:rPr>
          <w:color w:val="000000"/>
          <w:sz w:val="22"/>
          <w:szCs w:val="22"/>
        </w:rPr>
      </w:pPr>
      <w:r>
        <w:rPr>
          <w:b/>
          <w:bCs/>
          <w:color w:val="000000"/>
          <w:sz w:val="22"/>
          <w:szCs w:val="22"/>
        </w:rPr>
        <w:t>RELAZIONE TECNICA con evidenziate le caratteristiche minime del sistema richieste all’art. 1 del Disciplinare, unitamente agli elementi di valutazione della qualità, di cui all’art. 8</w:t>
      </w:r>
    </w:p>
    <w:p w:rsidR="00065EFA" w:rsidRDefault="00A73CA4">
      <w:pPr>
        <w:numPr>
          <w:ilvl w:val="0"/>
          <w:numId w:val="15"/>
        </w:numPr>
        <w:pBdr>
          <w:top w:val="nil"/>
          <w:left w:val="nil"/>
          <w:bottom w:val="nil"/>
          <w:right w:val="nil"/>
          <w:between w:val="nil"/>
        </w:pBdr>
        <w:jc w:val="both"/>
        <w:rPr>
          <w:color w:val="000000"/>
          <w:sz w:val="22"/>
          <w:szCs w:val="22"/>
        </w:rPr>
      </w:pPr>
      <w:r>
        <w:rPr>
          <w:b/>
          <w:bCs/>
          <w:color w:val="000000"/>
          <w:sz w:val="22"/>
          <w:szCs w:val="22"/>
        </w:rPr>
        <w:t xml:space="preserve">Ogni altra documentazione </w:t>
      </w:r>
      <w:r>
        <w:rPr>
          <w:color w:val="000000"/>
          <w:sz w:val="22"/>
          <w:szCs w:val="22"/>
        </w:rPr>
        <w:t xml:space="preserve">che la ditta intende fornire al fine della valutazione della qualità dell’offerta; </w:t>
      </w:r>
    </w:p>
    <w:p w:rsidR="00065EFA" w:rsidRDefault="00065EFA">
      <w:pPr>
        <w:pBdr>
          <w:top w:val="nil"/>
          <w:left w:val="nil"/>
          <w:bottom w:val="nil"/>
          <w:right w:val="nil"/>
          <w:between w:val="nil"/>
        </w:pBdr>
        <w:ind w:left="720" w:right="141"/>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Tutti i documenti inseriti nelle buste AMMINISTRATIVA/E </w:t>
      </w:r>
      <w:proofErr w:type="spellStart"/>
      <w:r>
        <w:rPr>
          <w:b/>
          <w:bCs/>
          <w:color w:val="000000"/>
          <w:sz w:val="22"/>
          <w:szCs w:val="22"/>
        </w:rPr>
        <w:t>E</w:t>
      </w:r>
      <w:proofErr w:type="spellEnd"/>
      <w:r>
        <w:rPr>
          <w:b/>
          <w:bCs/>
          <w:color w:val="000000"/>
          <w:sz w:val="22"/>
          <w:szCs w:val="22"/>
        </w:rPr>
        <w:t xml:space="preserve"> TECNICA/CHE non devono contenere riferimenti economici all’offerta contenuta nella busta 3) pena l’esclusione dalla procedura di gara.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“BUSTA 3 – OFFERTA ECONOMICA” – Step 3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Allo step 3 “Offerta economica” del percorso guidato “Invia offerta”, il concorrente, pena l’esclusione dalla gara, dovrà operare a Sistema formulando e presentando una Offerta economica come da allegato, firmando digitalmente la versione .pdf ed allegando anche la versione </w:t>
      </w:r>
      <w:proofErr w:type="spellStart"/>
      <w:r>
        <w:rPr>
          <w:color w:val="000000"/>
          <w:sz w:val="22"/>
          <w:szCs w:val="22"/>
        </w:rPr>
        <w:t>excel</w:t>
      </w:r>
      <w:proofErr w:type="spellEnd"/>
      <w:r>
        <w:rPr>
          <w:color w:val="000000"/>
          <w:sz w:val="22"/>
          <w:szCs w:val="22"/>
        </w:rPr>
        <w:t xml:space="preserve">. Per comodità è consigliabile procedere compilando prima il file </w:t>
      </w:r>
      <w:proofErr w:type="spellStart"/>
      <w:r>
        <w:rPr>
          <w:color w:val="000000"/>
          <w:sz w:val="22"/>
          <w:szCs w:val="22"/>
        </w:rPr>
        <w:t>excel</w:t>
      </w:r>
      <w:proofErr w:type="spellEnd"/>
      <w:r>
        <w:rPr>
          <w:color w:val="000000"/>
          <w:sz w:val="22"/>
          <w:szCs w:val="22"/>
        </w:rPr>
        <w:t xml:space="preserve">, trasformarlo poi in pdf e procedere poi con la firma digitale; alla fine poi si dovrà allegare sia il file </w:t>
      </w:r>
      <w:proofErr w:type="spellStart"/>
      <w:r>
        <w:rPr>
          <w:color w:val="000000"/>
          <w:sz w:val="22"/>
          <w:szCs w:val="22"/>
        </w:rPr>
        <w:t>excel</w:t>
      </w:r>
      <w:proofErr w:type="spellEnd"/>
      <w:r>
        <w:rPr>
          <w:color w:val="000000"/>
          <w:sz w:val="22"/>
          <w:szCs w:val="22"/>
        </w:rPr>
        <w:t xml:space="preserve"> che il file firmato digitalmente.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concorrente a pena di esclusione, dovrà compilare ed allegare il file </w:t>
      </w:r>
      <w:r>
        <w:rPr>
          <w:b/>
          <w:bCs/>
          <w:color w:val="000000"/>
          <w:sz w:val="22"/>
          <w:szCs w:val="22"/>
        </w:rPr>
        <w:t>Allegato 2 - Modello offerta economica,</w:t>
      </w:r>
      <w:r>
        <w:rPr>
          <w:color w:val="000000"/>
          <w:sz w:val="22"/>
          <w:szCs w:val="22"/>
        </w:rPr>
        <w:t xml:space="preserve"> </w:t>
      </w:r>
      <w:r>
        <w:rPr>
          <w:color w:val="000000"/>
          <w:sz w:val="22"/>
          <w:szCs w:val="22"/>
          <w:u w:val="single"/>
        </w:rPr>
        <w:t xml:space="preserve">in formato </w:t>
      </w:r>
      <w:proofErr w:type="spellStart"/>
      <w:r>
        <w:rPr>
          <w:color w:val="000000"/>
          <w:sz w:val="22"/>
          <w:szCs w:val="22"/>
          <w:u w:val="single"/>
        </w:rPr>
        <w:t>excel</w:t>
      </w:r>
      <w:proofErr w:type="spellEnd"/>
      <w:r>
        <w:rPr>
          <w:color w:val="000000"/>
          <w:sz w:val="22"/>
          <w:szCs w:val="22"/>
        </w:rPr>
        <w:t xml:space="preserve">, firmata digitalmente dal Legale Rappresentante nella versione pdf, che costituisce parte integrante dell’offerta economica.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Si chiede inoltre di allegare il file compilato di cui sopra anche in formato </w:t>
      </w:r>
      <w:proofErr w:type="spellStart"/>
      <w:r>
        <w:rPr>
          <w:color w:val="000000"/>
          <w:sz w:val="22"/>
          <w:szCs w:val="22"/>
        </w:rPr>
        <w:t>excel</w:t>
      </w:r>
      <w:proofErr w:type="spellEnd"/>
      <w:r>
        <w:rPr>
          <w:color w:val="000000"/>
          <w:sz w:val="22"/>
          <w:szCs w:val="22"/>
        </w:rPr>
        <w:t>.</w:t>
      </w:r>
    </w:p>
    <w:p w:rsidR="00065EFA" w:rsidRDefault="00065EFA">
      <w:pPr>
        <w:pBdr>
          <w:top w:val="nil"/>
          <w:left w:val="nil"/>
          <w:bottom w:val="nil"/>
          <w:right w:val="nil"/>
          <w:between w:val="nil"/>
        </w:pBdr>
        <w:ind w:left="720"/>
        <w:jc w:val="both"/>
        <w:rPr>
          <w:color w:val="000000"/>
          <w:sz w:val="22"/>
          <w:szCs w:val="22"/>
          <w:u w:val="single"/>
        </w:rPr>
      </w:pPr>
    </w:p>
    <w:p w:rsidR="00065EFA" w:rsidRDefault="00A73CA4">
      <w:pPr>
        <w:pBdr>
          <w:top w:val="nil"/>
          <w:left w:val="nil"/>
          <w:bottom w:val="nil"/>
          <w:right w:val="nil"/>
          <w:between w:val="nil"/>
        </w:pBdr>
        <w:jc w:val="both"/>
        <w:rPr>
          <w:color w:val="000000"/>
          <w:sz w:val="22"/>
          <w:szCs w:val="22"/>
        </w:rPr>
      </w:pPr>
      <w:r>
        <w:rPr>
          <w:color w:val="000000"/>
          <w:sz w:val="22"/>
          <w:szCs w:val="22"/>
        </w:rPr>
        <w:t>Il prezzo dovrà essere esposto con due cifre dopo la virgola.</w:t>
      </w:r>
    </w:p>
    <w:p w:rsidR="00065EFA" w:rsidRDefault="00065EFA">
      <w:pPr>
        <w:pBdr>
          <w:top w:val="nil"/>
          <w:left w:val="nil"/>
          <w:bottom w:val="nil"/>
          <w:right w:val="nil"/>
          <w:between w:val="nil"/>
        </w:pBdr>
        <w:jc w:val="both"/>
        <w:rPr>
          <w:color w:val="000000"/>
          <w:sz w:val="22"/>
          <w:szCs w:val="22"/>
          <w:u w:val="single"/>
        </w:rPr>
      </w:pPr>
    </w:p>
    <w:p w:rsidR="00065EFA" w:rsidRDefault="00A73CA4">
      <w:pPr>
        <w:numPr>
          <w:ilvl w:val="0"/>
          <w:numId w:val="27"/>
        </w:numPr>
        <w:pBdr>
          <w:top w:val="nil"/>
          <w:left w:val="nil"/>
          <w:bottom w:val="nil"/>
          <w:right w:val="nil"/>
          <w:between w:val="nil"/>
        </w:pBdr>
        <w:jc w:val="both"/>
        <w:rPr>
          <w:color w:val="000000"/>
          <w:sz w:val="22"/>
          <w:szCs w:val="22"/>
          <w:u w:val="single"/>
        </w:rPr>
      </w:pPr>
      <w:r>
        <w:rPr>
          <w:b/>
          <w:bCs/>
          <w:color w:val="000000"/>
          <w:sz w:val="22"/>
          <w:szCs w:val="22"/>
          <w:u w:val="single"/>
        </w:rPr>
        <w:t>Il prezzo offerto non dovrà essere superiore al prezzo posto a base di gara,</w:t>
      </w:r>
    </w:p>
    <w:p w:rsidR="00065EFA" w:rsidRDefault="00065EFA">
      <w:pPr>
        <w:pBdr>
          <w:top w:val="nil"/>
          <w:left w:val="nil"/>
          <w:bottom w:val="nil"/>
          <w:right w:val="nil"/>
          <w:between w:val="nil"/>
        </w:pBdr>
        <w:ind w:left="720"/>
        <w:jc w:val="both"/>
        <w:rPr>
          <w:color w:val="000000"/>
          <w:sz w:val="22"/>
          <w:szCs w:val="22"/>
          <w:u w:val="single"/>
        </w:rPr>
      </w:pPr>
    </w:p>
    <w:p w:rsidR="00065EFA" w:rsidRDefault="00A73CA4">
      <w:pPr>
        <w:numPr>
          <w:ilvl w:val="0"/>
          <w:numId w:val="27"/>
        </w:numPr>
        <w:pBdr>
          <w:top w:val="nil"/>
          <w:left w:val="nil"/>
          <w:bottom w:val="nil"/>
          <w:right w:val="nil"/>
          <w:between w:val="nil"/>
        </w:pBdr>
        <w:jc w:val="both"/>
        <w:rPr>
          <w:color w:val="000000"/>
          <w:sz w:val="22"/>
          <w:szCs w:val="22"/>
          <w:u w:val="single"/>
        </w:rPr>
      </w:pPr>
      <w:r>
        <w:rPr>
          <w:b/>
          <w:bCs/>
          <w:color w:val="000000"/>
          <w:sz w:val="22"/>
          <w:szCs w:val="22"/>
          <w:u w:val="single"/>
        </w:rPr>
        <w:t>L’offerta deve essere valida per 365 giorni decorrenti dalla data dell’ultimo giorno utile per la presentazione dell’offerta e sarà vincolante nell’eventualità del successivo affidamento diretto di cui alle premesse del presente documento.</w:t>
      </w:r>
    </w:p>
    <w:p w:rsidR="00065EFA" w:rsidRDefault="00065EFA">
      <w:pPr>
        <w:pBdr>
          <w:top w:val="nil"/>
          <w:left w:val="nil"/>
          <w:bottom w:val="nil"/>
          <w:right w:val="nil"/>
          <w:between w:val="nil"/>
        </w:pBdr>
        <w:ind w:left="708"/>
        <w:rPr>
          <w:color w:val="000000"/>
          <w:sz w:val="22"/>
          <w:szCs w:val="22"/>
          <w:u w:val="single"/>
        </w:rPr>
      </w:pPr>
    </w:p>
    <w:p w:rsidR="00065EFA" w:rsidRDefault="00065EFA">
      <w:pPr>
        <w:pBdr>
          <w:top w:val="nil"/>
          <w:left w:val="nil"/>
          <w:bottom w:val="nil"/>
          <w:right w:val="nil"/>
          <w:between w:val="nil"/>
        </w:pBdr>
        <w:jc w:val="both"/>
        <w:rPr>
          <w:color w:val="000000"/>
          <w:sz w:val="22"/>
          <w:szCs w:val="22"/>
          <w:u w:val="single"/>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concorrente dovrà infine indicare </w:t>
      </w:r>
      <w:r>
        <w:rPr>
          <w:b/>
          <w:bCs/>
          <w:color w:val="000000"/>
          <w:sz w:val="22"/>
          <w:szCs w:val="22"/>
        </w:rPr>
        <w:t>nel modello offerta economica (allegato 2 alla presente procedura):</w:t>
      </w:r>
    </w:p>
    <w:p w:rsidR="00065EFA" w:rsidRDefault="00A73CA4">
      <w:pPr>
        <w:numPr>
          <w:ilvl w:val="0"/>
          <w:numId w:val="9"/>
        </w:numPr>
        <w:pBdr>
          <w:top w:val="nil"/>
          <w:left w:val="nil"/>
          <w:bottom w:val="nil"/>
          <w:right w:val="nil"/>
          <w:between w:val="nil"/>
        </w:pBdr>
        <w:jc w:val="both"/>
        <w:rPr>
          <w:color w:val="000000"/>
          <w:sz w:val="22"/>
          <w:szCs w:val="22"/>
        </w:rPr>
      </w:pPr>
      <w:r>
        <w:rPr>
          <w:b/>
          <w:bCs/>
          <w:color w:val="000000"/>
          <w:sz w:val="22"/>
          <w:szCs w:val="22"/>
        </w:rPr>
        <w:t>il prezzo complessivo offerto</w:t>
      </w:r>
      <w:r>
        <w:rPr>
          <w:color w:val="000000"/>
          <w:sz w:val="22"/>
          <w:szCs w:val="22"/>
        </w:rPr>
        <w:t xml:space="preserve"> espresso in Euro, IVA esclusa, con due cifre decimali e con modalità solo in cifre; </w:t>
      </w:r>
    </w:p>
    <w:p w:rsidR="00065EFA" w:rsidRDefault="00A73CA4">
      <w:pPr>
        <w:numPr>
          <w:ilvl w:val="0"/>
          <w:numId w:val="9"/>
        </w:numPr>
        <w:pBdr>
          <w:top w:val="nil"/>
          <w:left w:val="nil"/>
          <w:bottom w:val="nil"/>
          <w:right w:val="nil"/>
          <w:between w:val="nil"/>
        </w:pBdr>
        <w:jc w:val="both"/>
        <w:rPr>
          <w:color w:val="000000"/>
          <w:sz w:val="22"/>
          <w:szCs w:val="22"/>
        </w:rPr>
      </w:pPr>
      <w:r>
        <w:rPr>
          <w:color w:val="000000"/>
          <w:sz w:val="22"/>
          <w:szCs w:val="22"/>
        </w:rPr>
        <w:lastRenderedPageBreak/>
        <w:t xml:space="preserve"> </w:t>
      </w:r>
      <w:r>
        <w:rPr>
          <w:b/>
          <w:bCs/>
          <w:color w:val="000000"/>
          <w:sz w:val="22"/>
          <w:szCs w:val="22"/>
        </w:rPr>
        <w:t>i costi per la sicurezza</w:t>
      </w:r>
      <w:r>
        <w:rPr>
          <w:color w:val="000000"/>
          <w:sz w:val="22"/>
          <w:szCs w:val="22"/>
        </w:rPr>
        <w:t xml:space="preserve"> afferenti </w:t>
      </w:r>
      <w:proofErr w:type="gramStart"/>
      <w:r>
        <w:rPr>
          <w:color w:val="000000"/>
          <w:sz w:val="22"/>
          <w:szCs w:val="22"/>
        </w:rPr>
        <w:t>l’attività</w:t>
      </w:r>
      <w:proofErr w:type="gramEnd"/>
      <w:r>
        <w:rPr>
          <w:color w:val="000000"/>
          <w:sz w:val="22"/>
          <w:szCs w:val="22"/>
        </w:rPr>
        <w:t xml:space="preserve"> di impresa di cui all’ art. 108 comma 9 del D.lgs. 36/2023;</w:t>
      </w:r>
    </w:p>
    <w:p w:rsidR="00065EFA" w:rsidRDefault="00A73CA4">
      <w:pPr>
        <w:numPr>
          <w:ilvl w:val="0"/>
          <w:numId w:val="9"/>
        </w:numPr>
        <w:pBdr>
          <w:top w:val="nil"/>
          <w:left w:val="nil"/>
          <w:bottom w:val="nil"/>
          <w:right w:val="nil"/>
          <w:between w:val="nil"/>
        </w:pBdr>
        <w:jc w:val="both"/>
        <w:rPr>
          <w:color w:val="000000"/>
          <w:sz w:val="22"/>
          <w:szCs w:val="22"/>
        </w:rPr>
      </w:pPr>
      <w:r>
        <w:rPr>
          <w:b/>
          <w:bCs/>
          <w:color w:val="000000"/>
          <w:sz w:val="22"/>
          <w:szCs w:val="22"/>
        </w:rPr>
        <w:t>i costi della manodopera</w:t>
      </w:r>
      <w:r>
        <w:rPr>
          <w:color w:val="000000"/>
          <w:sz w:val="22"/>
          <w:szCs w:val="22"/>
        </w:rPr>
        <w:t xml:space="preserve"> propri dell’operatore economico di cui art. 108 comma 9 del D.lgs. 36/2023, </w:t>
      </w:r>
      <w:r>
        <w:rPr>
          <w:color w:val="000000"/>
          <w:sz w:val="22"/>
          <w:szCs w:val="22"/>
          <w:u w:val="single"/>
        </w:rPr>
        <w:t>se la cui indicazione è stata prevista dalla Stazione Appaltante</w:t>
      </w:r>
      <w:r>
        <w:rPr>
          <w:color w:val="000000"/>
          <w:sz w:val="22"/>
          <w:szCs w:val="22"/>
        </w:rPr>
        <w:t xml:space="preserve">; </w:t>
      </w:r>
    </w:p>
    <w:p w:rsidR="00065EFA" w:rsidRDefault="00A73CA4">
      <w:pPr>
        <w:numPr>
          <w:ilvl w:val="0"/>
          <w:numId w:val="9"/>
        </w:numPr>
        <w:pBdr>
          <w:top w:val="nil"/>
          <w:left w:val="nil"/>
          <w:bottom w:val="nil"/>
          <w:right w:val="nil"/>
          <w:between w:val="nil"/>
        </w:pBdr>
        <w:jc w:val="both"/>
        <w:rPr>
          <w:color w:val="000000"/>
          <w:sz w:val="22"/>
          <w:szCs w:val="22"/>
        </w:rPr>
      </w:pPr>
      <w:r>
        <w:rPr>
          <w:color w:val="000000"/>
          <w:sz w:val="22"/>
          <w:szCs w:val="22"/>
        </w:rPr>
        <w:t xml:space="preserve">Sulla base delle modalità previste per l’esecuzione della presente fornitura/servizio, nonché in considerazione di quanto indicato con determina dall’Autorità di vigilanza sui contratti pubblici di lavori, servizi e forniture del 5 marzo 2008, si ritiene che </w:t>
      </w:r>
      <w:r>
        <w:rPr>
          <w:b/>
          <w:bCs/>
          <w:color w:val="000000"/>
          <w:sz w:val="22"/>
          <w:szCs w:val="22"/>
        </w:rPr>
        <w:t>i costi della sicurezza derivanti da “interferenze” siano, allo stato attuale, pari a zero.</w:t>
      </w:r>
      <w:r>
        <w:rPr>
          <w:color w:val="000000"/>
          <w:sz w:val="22"/>
          <w:szCs w:val="22"/>
        </w:rPr>
        <w:t xml:space="preserve"> </w:t>
      </w:r>
      <w:r>
        <w:rPr>
          <w:b/>
          <w:bCs/>
          <w:color w:val="000000"/>
          <w:sz w:val="22"/>
          <w:szCs w:val="22"/>
        </w:rPr>
        <w:t>Nel caso la ditta fornitrice rilevi, al contrario, la presenza di eventuali rischi da interferenza dovrà proporre l’integrazione delle misure di sicurezza.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Ai soli fini dell’utilizzo della piattaforma da parte dell’operatore economico, dovrà essere indicato a sistema, nell’apposito campo “di cui costi della sicurezza derivanti da interferenza”, un valore pari a zero per gli oneri per la sicurezza dovuti a rischi interferenziali di cui all’art. 26 D. Lgs. 81/2008.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quotazione degli oneri di cui all’art. 26 D. Lgs. 81/2008, dovrà essere presentata in una apposita dichiarazione, resa ai sensi del D.P.R. 445/2000, firmata digitalmente, anche in calce allo “Schema di offerta economica”, da inserire nella cartella “Offerta Economica”.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Sulla base delle modalità previste per l’esecuzione della presente fornitura, nonché in considerazione di quanto indicato con determina dall’Autorità di vigilanza sui contratti pubblici di lavori, servizi e forniture del 5 marzo 2008, si ritiene che i costi della sicurezza derivanti da “interferenze” siano, allo stato attuale, pari a zero. Nel caso la ditta fornitrice rilevi, al contrario, la presenza di eventuali rischi da interferenza dovrà proporre l’integrazione delle misure di sicurezza.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Qualora la Stazione Appaltante rilevi una discordanza tra l’importo complessivo offerto inserito in piattaforma e quanto indicato nell’offerta economica, l’offerta verrà esclusa se ritenuta equivoca e non certa. </w:t>
      </w:r>
    </w:p>
    <w:p w:rsidR="00065EFA" w:rsidRDefault="00A73CA4">
      <w:pPr>
        <w:pBdr>
          <w:top w:val="nil"/>
          <w:left w:val="nil"/>
          <w:bottom w:val="nil"/>
          <w:right w:val="nil"/>
          <w:between w:val="nil"/>
        </w:pBdr>
        <w:jc w:val="both"/>
        <w:rPr>
          <w:color w:val="000000"/>
          <w:sz w:val="22"/>
          <w:szCs w:val="22"/>
        </w:rPr>
      </w:pPr>
      <w:r>
        <w:rPr>
          <w:color w:val="000000"/>
          <w:sz w:val="22"/>
          <w:szCs w:val="22"/>
        </w:rPr>
        <w:t>La presenza di prezzi o informazioni economico-finanziarie in “buste” diverse da quella economica comporterà l’esclusione dalla gara.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Firma digitale dei prezzi offerti - Step 4</w:t>
      </w:r>
    </w:p>
    <w:p w:rsidR="00065EFA" w:rsidRDefault="00A73CA4">
      <w:pPr>
        <w:pBdr>
          <w:top w:val="nil"/>
          <w:left w:val="nil"/>
          <w:bottom w:val="nil"/>
          <w:right w:val="nil"/>
          <w:between w:val="nil"/>
        </w:pBdr>
        <w:jc w:val="both"/>
        <w:rPr>
          <w:color w:val="000000"/>
          <w:sz w:val="22"/>
          <w:szCs w:val="22"/>
        </w:rPr>
      </w:pPr>
      <w:r>
        <w:rPr>
          <w:color w:val="000000"/>
          <w:sz w:val="22"/>
          <w:szCs w:val="22"/>
        </w:rPr>
        <w:t>Il concorrente dovrà obbligatoriamente, allo step 4 del percorso “Invia offerta”:</w:t>
      </w:r>
    </w:p>
    <w:p w:rsidR="00065EFA" w:rsidRDefault="00A73CA4">
      <w:pPr>
        <w:numPr>
          <w:ilvl w:val="0"/>
          <w:numId w:val="25"/>
        </w:numPr>
        <w:pBdr>
          <w:top w:val="nil"/>
          <w:left w:val="nil"/>
          <w:bottom w:val="nil"/>
          <w:right w:val="nil"/>
          <w:between w:val="nil"/>
        </w:pBdr>
        <w:jc w:val="both"/>
        <w:rPr>
          <w:color w:val="000000"/>
          <w:sz w:val="22"/>
          <w:szCs w:val="22"/>
        </w:rPr>
      </w:pPr>
      <w:r>
        <w:rPr>
          <w:color w:val="000000"/>
          <w:sz w:val="22"/>
          <w:szCs w:val="22"/>
        </w:rPr>
        <w:t xml:space="preserve">scaricare dalla schermata a Sistema denominata “Firma digitale dell’offerta”, il documento d’offerta in formato pdf riportante le informazioni immesse a Sistema – ma non ancora sottoscritte – quali il prezzo offerto oltre ad altre informazioni e dati immessi dal concorrente stesso (tra cui i codici </w:t>
      </w:r>
      <w:proofErr w:type="spellStart"/>
      <w:r>
        <w:rPr>
          <w:color w:val="000000"/>
          <w:sz w:val="22"/>
          <w:szCs w:val="22"/>
        </w:rPr>
        <w:t>hash</w:t>
      </w:r>
      <w:proofErr w:type="spellEnd"/>
      <w:r>
        <w:rPr>
          <w:color w:val="000000"/>
          <w:sz w:val="22"/>
          <w:szCs w:val="22"/>
        </w:rPr>
        <w:t xml:space="preserve"> in precedenza descritti, la cui sottoscrizione assicura la paternità dei file e del loro contenuto al concorrente);</w:t>
      </w:r>
    </w:p>
    <w:p w:rsidR="00065EFA" w:rsidRDefault="00A73CA4">
      <w:pPr>
        <w:numPr>
          <w:ilvl w:val="0"/>
          <w:numId w:val="25"/>
        </w:numPr>
        <w:pBdr>
          <w:top w:val="nil"/>
          <w:left w:val="nil"/>
          <w:bottom w:val="nil"/>
          <w:right w:val="nil"/>
          <w:between w:val="nil"/>
        </w:pBdr>
        <w:jc w:val="both"/>
        <w:rPr>
          <w:color w:val="000000"/>
          <w:sz w:val="22"/>
          <w:szCs w:val="22"/>
        </w:rPr>
      </w:pPr>
      <w:r>
        <w:rPr>
          <w:color w:val="000000"/>
          <w:sz w:val="22"/>
          <w:szCs w:val="22"/>
        </w:rPr>
        <w:t xml:space="preserve">sottoscrivere il predetto documento d’offerta, scaricato in formato pdf riepilogativo dell’offerta. La sottoscrizione dovrà essere effettuata tramite firma digitale dal legale rappresentante del concorrente. Si rammenta che eventuali firme multiple su detto file pdf dovranno essere apposte unicamente in modalità parallela come meglio esplicato nelle richiamate nell’Allegato “Modalità Tecniche utilizzo Piattaforma </w:t>
      </w:r>
      <w:proofErr w:type="spellStart"/>
      <w:r>
        <w:rPr>
          <w:color w:val="000000"/>
          <w:sz w:val="22"/>
          <w:szCs w:val="22"/>
        </w:rPr>
        <w:t>Sintel</w:t>
      </w:r>
      <w:proofErr w:type="spellEnd"/>
      <w:r>
        <w:rPr>
          <w:color w:val="000000"/>
          <w:sz w:val="22"/>
          <w:szCs w:val="22"/>
        </w:rPr>
        <w:t>”;</w:t>
      </w:r>
    </w:p>
    <w:p w:rsidR="00065EFA" w:rsidRDefault="00A73CA4">
      <w:pPr>
        <w:numPr>
          <w:ilvl w:val="0"/>
          <w:numId w:val="25"/>
        </w:numPr>
        <w:pBdr>
          <w:top w:val="nil"/>
          <w:left w:val="nil"/>
          <w:bottom w:val="nil"/>
          <w:right w:val="nil"/>
          <w:between w:val="nil"/>
        </w:pBdr>
        <w:jc w:val="both"/>
        <w:rPr>
          <w:color w:val="000000"/>
          <w:sz w:val="22"/>
          <w:szCs w:val="22"/>
        </w:rPr>
      </w:pPr>
      <w:r>
        <w:rPr>
          <w:color w:val="000000"/>
          <w:sz w:val="22"/>
          <w:szCs w:val="22"/>
        </w:rPr>
        <w:t>allegare a Sistema il documento d’offerta in formato pdf sottoscritto di cui al precedente punto 2, quale elemento essenziale dell’offerta.</w:t>
      </w:r>
    </w:p>
    <w:p w:rsidR="00065EFA" w:rsidRDefault="00065EFA">
      <w:pPr>
        <w:pBdr>
          <w:top w:val="nil"/>
          <w:left w:val="nil"/>
          <w:bottom w:val="nil"/>
          <w:right w:val="nil"/>
          <w:between w:val="nil"/>
        </w:pBdr>
        <w:ind w:left="720"/>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Si rammenta che il pdf d’offerta di cui al precedente punto 2 costituisce offerta e contiene elementi essenziali della medesima. Il file scaricato non può pertanto essere modificato sotto pena d’esclusione, in quanto le eventuali modifiche costituiscono variazione di elementi essenziali.</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Le eventuali modifiche degli </w:t>
      </w:r>
      <w:proofErr w:type="spellStart"/>
      <w:r>
        <w:rPr>
          <w:color w:val="000000"/>
          <w:sz w:val="22"/>
          <w:szCs w:val="22"/>
        </w:rPr>
        <w:t>hash</w:t>
      </w:r>
      <w:proofErr w:type="spellEnd"/>
      <w:r>
        <w:rPr>
          <w:color w:val="000000"/>
          <w:sz w:val="22"/>
          <w:szCs w:val="22"/>
        </w:rPr>
        <w:t xml:space="preserve"> saranno segnalate dal Sistema e oggetto di valutazione e, se ritenute essenziali, saranno oggetto di esclusione.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Riepilogo ed invio dell’offerta – Step 5</w:t>
      </w:r>
    </w:p>
    <w:p w:rsidR="00065EFA" w:rsidRDefault="00A73CA4">
      <w:pPr>
        <w:pBdr>
          <w:top w:val="nil"/>
          <w:left w:val="nil"/>
          <w:bottom w:val="nil"/>
          <w:right w:val="nil"/>
          <w:between w:val="nil"/>
        </w:pBdr>
        <w:jc w:val="both"/>
        <w:rPr>
          <w:color w:val="000000"/>
          <w:sz w:val="22"/>
          <w:szCs w:val="22"/>
        </w:rPr>
      </w:pPr>
      <w:r>
        <w:rPr>
          <w:color w:val="000000"/>
          <w:sz w:val="22"/>
          <w:szCs w:val="22"/>
        </w:rPr>
        <w:t>Solo a seguito dell’upload di tale documento d’offerta in formato pdf sottoscritto come richiesto, il concorrente può passare allo step 5 “Riepilogo ed invio dell’offerta” del percorso “Invia offerta” per completare la presentazione effettiva dell’offerta mediante la funzionalità “INVIA OFFERTA” che, si rammenta, dovrà avvenire entro e non oltre il termine perentorio di presentazione delle offerte.</w:t>
      </w: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Gli step precedenti del percorso “Invia offerta” per quanto correttamente completati e corredati dal salvataggio della documentazione non consentono e non costituiscono l’effettivo l’invio dell’offerta. La documentazione caricata e salvata permane infatti nello spazio telematico del concorrente e non è inviata al Sistema.</w:t>
      </w:r>
    </w:p>
    <w:p w:rsidR="00065EFA" w:rsidRDefault="00A73CA4">
      <w:pPr>
        <w:pBdr>
          <w:top w:val="nil"/>
          <w:left w:val="nil"/>
          <w:bottom w:val="nil"/>
          <w:right w:val="nil"/>
          <w:between w:val="nil"/>
        </w:pBdr>
        <w:jc w:val="both"/>
        <w:rPr>
          <w:color w:val="000000"/>
          <w:sz w:val="22"/>
          <w:szCs w:val="22"/>
        </w:rPr>
      </w:pPr>
      <w:r>
        <w:rPr>
          <w:color w:val="000000"/>
          <w:sz w:val="22"/>
          <w:szCs w:val="22"/>
        </w:rPr>
        <w:t>Alla scadenza del termine per la presentazione delle offerte, le offerte pervenute non possono essere più ritirate e sono definitivamente acquisite dal Sistema, che le mantiene segrete e riservate fino all’inizio delle operazioni di apertura e verifica della documentazione da parte dell’amministrazione.</w:t>
      </w:r>
    </w:p>
    <w:p w:rsidR="00065EFA" w:rsidRDefault="00A73CA4">
      <w:pPr>
        <w:pBdr>
          <w:top w:val="nil"/>
          <w:left w:val="nil"/>
          <w:bottom w:val="nil"/>
          <w:right w:val="nil"/>
          <w:between w:val="nil"/>
        </w:pBdr>
        <w:jc w:val="both"/>
        <w:rPr>
          <w:color w:val="000000"/>
          <w:sz w:val="22"/>
          <w:szCs w:val="22"/>
        </w:rPr>
      </w:pPr>
      <w:r>
        <w:rPr>
          <w:b/>
          <w:bCs/>
          <w:color w:val="000000"/>
          <w:sz w:val="22"/>
          <w:szCs w:val="22"/>
          <w:u w:val="single"/>
        </w:rPr>
        <w:t>Si fa presente che non saranno accettate offerte condizionate, né offerte parziali; inoltre, non saranno accettate offerte plurime o alternative.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Art. 5 - DEPOSITO CAUZIONALE PROVVISORIO </w:t>
      </w:r>
    </w:p>
    <w:p w:rsidR="00065EFA" w:rsidRDefault="00065EFA">
      <w:pPr>
        <w:pBdr>
          <w:top w:val="nil"/>
          <w:left w:val="nil"/>
          <w:bottom w:val="nil"/>
          <w:right w:val="nil"/>
          <w:between w:val="nil"/>
        </w:pBdr>
        <w:tabs>
          <w:tab w:val="right" w:pos="9628"/>
        </w:tabs>
        <w:jc w:val="both"/>
        <w:rPr>
          <w:color w:val="000000"/>
          <w:sz w:val="22"/>
          <w:szCs w:val="22"/>
        </w:rPr>
      </w:pPr>
    </w:p>
    <w:p w:rsidR="00065EFA" w:rsidRDefault="00A73CA4">
      <w:pPr>
        <w:pBdr>
          <w:top w:val="nil"/>
          <w:left w:val="nil"/>
          <w:bottom w:val="nil"/>
          <w:right w:val="nil"/>
          <w:between w:val="nil"/>
        </w:pBdr>
        <w:tabs>
          <w:tab w:val="right" w:pos="9628"/>
        </w:tabs>
        <w:jc w:val="both"/>
        <w:rPr>
          <w:color w:val="000000"/>
          <w:sz w:val="22"/>
          <w:szCs w:val="22"/>
        </w:rPr>
      </w:pPr>
      <w:r>
        <w:rPr>
          <w:color w:val="000000"/>
          <w:sz w:val="22"/>
          <w:szCs w:val="22"/>
        </w:rPr>
        <w:t>Nella BUSTA 1 “Documentazione Amministrativa” dovrà essere inserita la garanzia provvisoria, che la Ditta concorrente dovrà costituire a garanzia dell’offerta, pari al 2% degli importi dei singoli lotti, nei seguenti termini:</w:t>
      </w:r>
    </w:p>
    <w:p w:rsidR="00065EFA" w:rsidRDefault="00065EFA">
      <w:pPr>
        <w:pBdr>
          <w:top w:val="nil"/>
          <w:left w:val="nil"/>
          <w:bottom w:val="nil"/>
          <w:right w:val="nil"/>
          <w:between w:val="nil"/>
        </w:pBdr>
        <w:tabs>
          <w:tab w:val="right" w:pos="9628"/>
        </w:tabs>
        <w:rPr>
          <w:color w:val="000000"/>
          <w:sz w:val="22"/>
          <w:szCs w:val="22"/>
        </w:rPr>
      </w:pPr>
    </w:p>
    <w:p w:rsidR="00065EFA" w:rsidRDefault="00065EFA">
      <w:pPr>
        <w:pBdr>
          <w:top w:val="nil"/>
          <w:left w:val="nil"/>
          <w:bottom w:val="nil"/>
          <w:right w:val="nil"/>
          <w:between w:val="nil"/>
        </w:pBdr>
        <w:tabs>
          <w:tab w:val="right" w:pos="9628"/>
        </w:tabs>
        <w:rPr>
          <w:color w:val="000000"/>
          <w:sz w:val="22"/>
          <w:szCs w:val="22"/>
        </w:rPr>
      </w:pPr>
    </w:p>
    <w:tbl>
      <w:tblPr>
        <w:tblStyle w:val="a8"/>
        <w:tblW w:w="8788" w:type="dxa"/>
        <w:tblInd w:w="4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34"/>
        <w:gridCol w:w="1723"/>
        <w:gridCol w:w="3964"/>
        <w:gridCol w:w="1967"/>
      </w:tblGrid>
      <w:tr w:rsidR="00065EFA">
        <w:tc>
          <w:tcPr>
            <w:tcW w:w="1134" w:type="dxa"/>
          </w:tcPr>
          <w:p w:rsidR="00065EFA" w:rsidRDefault="00A73CA4">
            <w:pPr>
              <w:widowControl w:val="0"/>
              <w:pBdr>
                <w:top w:val="nil"/>
                <w:left w:val="nil"/>
                <w:bottom w:val="nil"/>
                <w:right w:val="nil"/>
                <w:between w:val="nil"/>
              </w:pBdr>
              <w:rPr>
                <w:rFonts w:ascii="Times" w:eastAsia="Times" w:hAnsi="Times" w:cs="Times"/>
                <w:color w:val="000000"/>
                <w:sz w:val="22"/>
                <w:szCs w:val="22"/>
              </w:rPr>
            </w:pPr>
            <w:r>
              <w:rPr>
                <w:rFonts w:ascii="Times" w:eastAsia="Times" w:hAnsi="Times" w:cs="Times"/>
                <w:b/>
                <w:bCs/>
                <w:color w:val="000000"/>
                <w:sz w:val="22"/>
                <w:szCs w:val="22"/>
              </w:rPr>
              <w:t xml:space="preserve">Lotto </w:t>
            </w:r>
          </w:p>
        </w:tc>
        <w:tc>
          <w:tcPr>
            <w:tcW w:w="1723" w:type="dxa"/>
          </w:tcPr>
          <w:p w:rsidR="00065EFA" w:rsidRDefault="00A73CA4">
            <w:pPr>
              <w:widowControl w:val="0"/>
              <w:pBdr>
                <w:top w:val="nil"/>
                <w:left w:val="nil"/>
                <w:bottom w:val="nil"/>
                <w:right w:val="nil"/>
                <w:between w:val="nil"/>
              </w:pBdr>
              <w:rPr>
                <w:rFonts w:ascii="Times" w:eastAsia="Times" w:hAnsi="Times" w:cs="Times"/>
                <w:color w:val="000000"/>
                <w:sz w:val="22"/>
                <w:szCs w:val="22"/>
              </w:rPr>
            </w:pPr>
            <w:r>
              <w:rPr>
                <w:rFonts w:ascii="Times" w:eastAsia="Times" w:hAnsi="Times" w:cs="Times"/>
                <w:b/>
                <w:bCs/>
                <w:color w:val="000000"/>
                <w:sz w:val="22"/>
                <w:szCs w:val="22"/>
              </w:rPr>
              <w:t xml:space="preserve">CIG </w:t>
            </w:r>
          </w:p>
        </w:tc>
        <w:tc>
          <w:tcPr>
            <w:tcW w:w="3964" w:type="dxa"/>
          </w:tcPr>
          <w:p w:rsidR="00065EFA" w:rsidRDefault="00A73CA4">
            <w:pPr>
              <w:widowControl w:val="0"/>
              <w:pBdr>
                <w:top w:val="nil"/>
                <w:left w:val="nil"/>
                <w:bottom w:val="nil"/>
                <w:right w:val="nil"/>
                <w:between w:val="nil"/>
              </w:pBdr>
              <w:rPr>
                <w:rFonts w:ascii="Times" w:eastAsia="Times" w:hAnsi="Times" w:cs="Times"/>
                <w:color w:val="000000"/>
                <w:sz w:val="22"/>
                <w:szCs w:val="22"/>
              </w:rPr>
            </w:pPr>
            <w:r>
              <w:rPr>
                <w:rFonts w:ascii="Times" w:eastAsia="Times" w:hAnsi="Times" w:cs="Times"/>
                <w:b/>
                <w:bCs/>
                <w:color w:val="000000"/>
                <w:sz w:val="22"/>
                <w:szCs w:val="22"/>
              </w:rPr>
              <w:t xml:space="preserve">Importo complessivo </w:t>
            </w:r>
          </w:p>
        </w:tc>
        <w:tc>
          <w:tcPr>
            <w:tcW w:w="1967" w:type="dxa"/>
          </w:tcPr>
          <w:p w:rsidR="00065EFA" w:rsidRDefault="00A73CA4">
            <w:pPr>
              <w:widowControl w:val="0"/>
              <w:pBdr>
                <w:top w:val="nil"/>
                <w:left w:val="nil"/>
                <w:bottom w:val="nil"/>
                <w:right w:val="nil"/>
                <w:between w:val="nil"/>
              </w:pBdr>
              <w:rPr>
                <w:rFonts w:ascii="Times" w:eastAsia="Times" w:hAnsi="Times" w:cs="Times"/>
                <w:color w:val="000000"/>
                <w:sz w:val="22"/>
                <w:szCs w:val="22"/>
              </w:rPr>
            </w:pPr>
            <w:r>
              <w:rPr>
                <w:rFonts w:ascii="Times" w:eastAsia="Times" w:hAnsi="Times" w:cs="Times"/>
                <w:b/>
                <w:bCs/>
                <w:color w:val="000000"/>
                <w:sz w:val="22"/>
                <w:szCs w:val="22"/>
              </w:rPr>
              <w:t xml:space="preserve">Importo cauzione provvisoria 2% </w:t>
            </w:r>
          </w:p>
        </w:tc>
      </w:tr>
      <w:tr w:rsidR="00065EFA">
        <w:tc>
          <w:tcPr>
            <w:tcW w:w="1134" w:type="dxa"/>
          </w:tcPr>
          <w:p w:rsidR="00065EFA" w:rsidRDefault="00A73CA4">
            <w:pPr>
              <w:widowControl w:val="0"/>
              <w:pBdr>
                <w:top w:val="nil"/>
                <w:left w:val="nil"/>
                <w:bottom w:val="nil"/>
                <w:right w:val="nil"/>
                <w:between w:val="nil"/>
              </w:pBdr>
              <w:rPr>
                <w:rFonts w:ascii="Times" w:eastAsia="Times" w:hAnsi="Times" w:cs="Times"/>
                <w:b/>
                <w:bCs/>
                <w:color w:val="000000"/>
                <w:sz w:val="22"/>
                <w:szCs w:val="22"/>
              </w:rPr>
            </w:pPr>
            <w:r>
              <w:rPr>
                <w:rFonts w:ascii="Times" w:eastAsia="Times" w:hAnsi="Times" w:cs="Times"/>
                <w:b/>
                <w:bCs/>
                <w:color w:val="000000"/>
                <w:sz w:val="22"/>
                <w:szCs w:val="22"/>
              </w:rPr>
              <w:t>1</w:t>
            </w:r>
          </w:p>
        </w:tc>
        <w:tc>
          <w:tcPr>
            <w:tcW w:w="1723" w:type="dxa"/>
          </w:tcPr>
          <w:p w:rsidR="00065EFA" w:rsidRDefault="00D54EE1">
            <w:pPr>
              <w:widowControl w:val="0"/>
              <w:pBdr>
                <w:top w:val="nil"/>
                <w:left w:val="nil"/>
                <w:bottom w:val="nil"/>
                <w:right w:val="nil"/>
                <w:between w:val="nil"/>
              </w:pBdr>
              <w:rPr>
                <w:rFonts w:ascii="Times" w:eastAsia="Times" w:hAnsi="Times" w:cs="Times"/>
                <w:b/>
                <w:bCs/>
                <w:color w:val="000000"/>
                <w:sz w:val="22"/>
                <w:szCs w:val="22"/>
              </w:rPr>
            </w:pPr>
            <w:r w:rsidRPr="00D54EE1">
              <w:rPr>
                <w:rFonts w:ascii="Times" w:eastAsia="Times" w:hAnsi="Times" w:cs="Times"/>
                <w:b/>
                <w:bCs/>
                <w:color w:val="000000"/>
                <w:sz w:val="22"/>
                <w:szCs w:val="22"/>
              </w:rPr>
              <w:t>BA1DE87935</w:t>
            </w:r>
          </w:p>
        </w:tc>
        <w:tc>
          <w:tcPr>
            <w:tcW w:w="3964" w:type="dxa"/>
          </w:tcPr>
          <w:p w:rsidR="00065EFA" w:rsidRDefault="00A73CA4">
            <w:pPr>
              <w:widowControl w:val="0"/>
              <w:pBdr>
                <w:top w:val="nil"/>
                <w:left w:val="nil"/>
                <w:bottom w:val="nil"/>
                <w:right w:val="nil"/>
                <w:between w:val="nil"/>
              </w:pBdr>
              <w:rPr>
                <w:rFonts w:ascii="Times" w:eastAsia="Times" w:hAnsi="Times" w:cs="Times"/>
                <w:b/>
                <w:bCs/>
                <w:color w:val="000000"/>
                <w:sz w:val="22"/>
                <w:szCs w:val="22"/>
              </w:rPr>
            </w:pPr>
            <w:r>
              <w:rPr>
                <w:rFonts w:ascii="Times" w:eastAsia="Times" w:hAnsi="Times" w:cs="Times"/>
                <w:b/>
                <w:bCs/>
                <w:color w:val="000000"/>
                <w:sz w:val="22"/>
                <w:szCs w:val="22"/>
              </w:rPr>
              <w:t>199.500,00</w:t>
            </w:r>
          </w:p>
        </w:tc>
        <w:tc>
          <w:tcPr>
            <w:tcW w:w="1967" w:type="dxa"/>
          </w:tcPr>
          <w:p w:rsidR="00065EFA" w:rsidRDefault="00A73CA4">
            <w:pPr>
              <w:widowControl w:val="0"/>
              <w:pBdr>
                <w:top w:val="nil"/>
                <w:left w:val="nil"/>
                <w:bottom w:val="nil"/>
                <w:right w:val="nil"/>
                <w:between w:val="nil"/>
              </w:pBdr>
              <w:rPr>
                <w:rFonts w:ascii="Times" w:eastAsia="Times" w:hAnsi="Times" w:cs="Times"/>
                <w:b/>
                <w:bCs/>
                <w:color w:val="000000"/>
                <w:sz w:val="22"/>
                <w:szCs w:val="22"/>
              </w:rPr>
            </w:pPr>
            <w:r>
              <w:rPr>
                <w:rFonts w:ascii="Times" w:eastAsia="Times" w:hAnsi="Times" w:cs="Times"/>
                <w:b/>
                <w:bCs/>
                <w:color w:val="000000"/>
                <w:sz w:val="22"/>
                <w:szCs w:val="22"/>
              </w:rPr>
              <w:t>3.990,00</w:t>
            </w:r>
          </w:p>
        </w:tc>
      </w:tr>
    </w:tbl>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Si invita il concorrente a controllare che la cauzione provvisoria venga rilasciata ai sensi del </w:t>
      </w:r>
      <w:proofErr w:type="spellStart"/>
      <w:r>
        <w:rPr>
          <w:b/>
          <w:bCs/>
          <w:color w:val="000000"/>
          <w:sz w:val="22"/>
          <w:szCs w:val="22"/>
        </w:rPr>
        <w:t>D.Lgs.</w:t>
      </w:r>
      <w:proofErr w:type="spellEnd"/>
      <w:r>
        <w:rPr>
          <w:b/>
          <w:bCs/>
          <w:color w:val="000000"/>
          <w:sz w:val="22"/>
          <w:szCs w:val="22"/>
        </w:rPr>
        <w:t xml:space="preserve"> 36/2023 In caso di irregolarità si procederà ad attivare il soccorso istruttorio.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La garanzia provvisoria potrà essere costituita sotto forma di ricevuta di deposito, fideiussione o cauzione, a scelta dell’offerente: </w:t>
      </w:r>
    </w:p>
    <w:p w:rsidR="00065EFA" w:rsidRDefault="00A73CA4">
      <w:pPr>
        <w:pBdr>
          <w:top w:val="nil"/>
          <w:left w:val="nil"/>
          <w:bottom w:val="nil"/>
          <w:right w:val="nil"/>
          <w:between w:val="nil"/>
        </w:pBdr>
        <w:spacing w:after="13"/>
        <w:jc w:val="both"/>
        <w:rPr>
          <w:color w:val="000000"/>
          <w:sz w:val="22"/>
          <w:szCs w:val="22"/>
        </w:rPr>
      </w:pPr>
      <w:r>
        <w:rPr>
          <w:rFonts w:ascii="Calibri" w:eastAsia="Calibri" w:hAnsi="Calibri" w:cs="Calibri"/>
          <w:b/>
          <w:bCs/>
          <w:color w:val="000000"/>
          <w:sz w:val="22"/>
          <w:szCs w:val="22"/>
        </w:rPr>
        <w:t xml:space="preserve">- </w:t>
      </w:r>
      <w:r>
        <w:rPr>
          <w:b/>
          <w:bCs/>
          <w:color w:val="000000"/>
          <w:sz w:val="22"/>
          <w:szCs w:val="22"/>
        </w:rPr>
        <w:t xml:space="preserve">ricevuta di deposito </w:t>
      </w:r>
      <w:r>
        <w:rPr>
          <w:color w:val="000000"/>
          <w:sz w:val="22"/>
          <w:szCs w:val="22"/>
        </w:rPr>
        <w:t xml:space="preserve">rilasciata da una sezione di tesoreria provinciale o da aziende autorizzate comprovante il versamento, in contanti (fermo restando il limite di utilizzo </w:t>
      </w:r>
      <w:proofErr w:type="gramStart"/>
      <w:r>
        <w:rPr>
          <w:color w:val="000000"/>
          <w:sz w:val="22"/>
          <w:szCs w:val="22"/>
        </w:rPr>
        <w:t>del contanti</w:t>
      </w:r>
      <w:proofErr w:type="gramEnd"/>
      <w:r>
        <w:rPr>
          <w:color w:val="000000"/>
          <w:sz w:val="22"/>
          <w:szCs w:val="22"/>
        </w:rPr>
        <w:t xml:space="preserve"> di cui all’art. 49, comma 1, del </w:t>
      </w:r>
      <w:proofErr w:type="spellStart"/>
      <w:r>
        <w:rPr>
          <w:color w:val="000000"/>
          <w:sz w:val="22"/>
          <w:szCs w:val="22"/>
        </w:rPr>
        <w:t>D.Lgs.</w:t>
      </w:r>
      <w:proofErr w:type="spellEnd"/>
      <w:r>
        <w:rPr>
          <w:color w:val="000000"/>
          <w:sz w:val="22"/>
          <w:szCs w:val="22"/>
        </w:rPr>
        <w:t xml:space="preserve"> 231/2007) con bonifico, in assegni circolari od in titoli a titolo di pegno a favore dell’</w:t>
      </w:r>
      <w:proofErr w:type="spellStart"/>
      <w:r>
        <w:rPr>
          <w:color w:val="000000"/>
          <w:sz w:val="22"/>
          <w:szCs w:val="22"/>
        </w:rPr>
        <w:t>Aulss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xml:space="preserve">; </w:t>
      </w:r>
    </w:p>
    <w:p w:rsidR="00065EFA" w:rsidRDefault="00A73CA4">
      <w:pPr>
        <w:pBdr>
          <w:top w:val="nil"/>
          <w:left w:val="nil"/>
          <w:bottom w:val="nil"/>
          <w:right w:val="nil"/>
          <w:between w:val="nil"/>
        </w:pBdr>
        <w:jc w:val="both"/>
        <w:rPr>
          <w:color w:val="000000"/>
          <w:sz w:val="22"/>
          <w:szCs w:val="22"/>
        </w:rPr>
      </w:pPr>
      <w:r>
        <w:rPr>
          <w:rFonts w:ascii="Calibri" w:eastAsia="Calibri" w:hAnsi="Calibri" w:cs="Calibri"/>
          <w:b/>
          <w:bCs/>
          <w:color w:val="000000"/>
          <w:sz w:val="22"/>
          <w:szCs w:val="22"/>
        </w:rPr>
        <w:t xml:space="preserve">- </w:t>
      </w:r>
      <w:r>
        <w:rPr>
          <w:b/>
          <w:bCs/>
          <w:color w:val="000000"/>
          <w:sz w:val="22"/>
          <w:szCs w:val="22"/>
        </w:rPr>
        <w:t xml:space="preserve">polizza assicurativa </w:t>
      </w:r>
      <w:r>
        <w:rPr>
          <w:color w:val="000000"/>
          <w:sz w:val="22"/>
          <w:szCs w:val="22"/>
        </w:rPr>
        <w:t xml:space="preserve">(rilasciata da imprese di assicurazione) ovvero </w:t>
      </w:r>
      <w:r>
        <w:rPr>
          <w:b/>
          <w:bCs/>
          <w:color w:val="000000"/>
          <w:sz w:val="22"/>
          <w:szCs w:val="22"/>
        </w:rPr>
        <w:t xml:space="preserve">atto di fideiussione </w:t>
      </w:r>
      <w:r>
        <w:rPr>
          <w:color w:val="000000"/>
          <w:sz w:val="22"/>
          <w:szCs w:val="22"/>
        </w:rPr>
        <w:t xml:space="preserve">(rilasciato da banca o da intermediario finanziario iscritto nell’elenco speciale ai sensi dell’art. 107 del </w:t>
      </w:r>
      <w:proofErr w:type="spellStart"/>
      <w:r>
        <w:rPr>
          <w:color w:val="000000"/>
          <w:sz w:val="22"/>
          <w:szCs w:val="22"/>
        </w:rPr>
        <w:t>D.Lgs.</w:t>
      </w:r>
      <w:proofErr w:type="spellEnd"/>
      <w:r>
        <w:rPr>
          <w:color w:val="000000"/>
          <w:sz w:val="22"/>
          <w:szCs w:val="22"/>
        </w:rPr>
        <w:t xml:space="preserve"> 385/1993) rilasciata/o nella misura e nei modi previsti dall’art. 106 del d.lgs. 36/2023.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Ai sensi del comma 9 dell’art. 106 del d.lgs. 36/2023 la garanzia fideiussoria deve essere </w:t>
      </w:r>
      <w:r>
        <w:rPr>
          <w:b/>
          <w:bCs/>
          <w:color w:val="000000"/>
          <w:sz w:val="22"/>
          <w:szCs w:val="22"/>
        </w:rPr>
        <w:t xml:space="preserve">conforme allo schema tipo di cui all’art. 117 comma 12 del medesimo decreto legislativo.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fideiussione, la polizza assicurativa o la ricevuta di deposito dovranno essere intestate a: </w:t>
      </w:r>
      <w:r>
        <w:rPr>
          <w:b/>
          <w:bCs/>
          <w:color w:val="000000"/>
          <w:sz w:val="22"/>
          <w:szCs w:val="22"/>
        </w:rPr>
        <w:t xml:space="preserve">AULSS 8 </w:t>
      </w:r>
      <w:proofErr w:type="spellStart"/>
      <w:r>
        <w:rPr>
          <w:b/>
          <w:bCs/>
          <w:color w:val="000000"/>
          <w:sz w:val="22"/>
          <w:szCs w:val="22"/>
        </w:rPr>
        <w:t>Berica</w:t>
      </w:r>
      <w:proofErr w:type="spellEnd"/>
      <w:r>
        <w:rPr>
          <w:b/>
          <w:bCs/>
          <w:color w:val="000000"/>
          <w:sz w:val="22"/>
          <w:szCs w:val="22"/>
        </w:rPr>
        <w:t xml:space="preserve">, Viale </w:t>
      </w:r>
      <w:proofErr w:type="spellStart"/>
      <w:r>
        <w:rPr>
          <w:b/>
          <w:bCs/>
          <w:color w:val="000000"/>
          <w:sz w:val="22"/>
          <w:szCs w:val="22"/>
        </w:rPr>
        <w:t>Rodolfi</w:t>
      </w:r>
      <w:proofErr w:type="spellEnd"/>
      <w:r>
        <w:rPr>
          <w:b/>
          <w:bCs/>
          <w:color w:val="000000"/>
          <w:sz w:val="22"/>
          <w:szCs w:val="22"/>
        </w:rPr>
        <w:t xml:space="preserve">, 37 – 36100 Vicenza, C.F. e P. IVA 02441500242.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Sarà consentita la regolarizzazione di eventuali cauzioni irregolari. </w:t>
      </w:r>
    </w:p>
    <w:p w:rsidR="00065EFA" w:rsidRDefault="00A73CA4">
      <w:pPr>
        <w:pBdr>
          <w:top w:val="nil"/>
          <w:left w:val="nil"/>
          <w:bottom w:val="nil"/>
          <w:right w:val="nil"/>
          <w:between w:val="nil"/>
        </w:pBdr>
        <w:jc w:val="both"/>
        <w:rPr>
          <w:color w:val="000000"/>
          <w:sz w:val="22"/>
          <w:szCs w:val="22"/>
        </w:rPr>
      </w:pPr>
      <w:proofErr w:type="gramStart"/>
      <w:r>
        <w:rPr>
          <w:color w:val="000000"/>
          <w:sz w:val="22"/>
          <w:szCs w:val="22"/>
        </w:rPr>
        <w:t>E’</w:t>
      </w:r>
      <w:proofErr w:type="gramEnd"/>
      <w:r>
        <w:rPr>
          <w:color w:val="000000"/>
          <w:sz w:val="22"/>
          <w:szCs w:val="22"/>
        </w:rPr>
        <w:t xml:space="preserve"> ammessa la riduzione dell’importo della garanzia nei casi disciplinati dall’art. 106 del d.lgs.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caso di cumulo delle riduzioni, la riduzione successiva deve essere calcolata sull’importo che risulta dalla riduzione precedente.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Nel caso di Consorzio di cui all’art. 65, comma 2, lett. b), c) e d) del d.lgs. 36/2023, la cauzione provvisoria dovrà essere presentata dal Consorzio medesimo, ed essere a </w:t>
      </w:r>
      <w:proofErr w:type="gramStart"/>
      <w:r>
        <w:rPr>
          <w:color w:val="000000"/>
          <w:sz w:val="22"/>
          <w:szCs w:val="22"/>
        </w:rPr>
        <w:t>quest’ultimo intestata</w:t>
      </w:r>
      <w:proofErr w:type="gramEnd"/>
      <w:r>
        <w:rPr>
          <w:color w:val="000000"/>
          <w:sz w:val="22"/>
          <w:szCs w:val="22"/>
        </w:rPr>
        <w:t xml:space="preserv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caso di partecipazione in forma associata per i soggetti di cui all’art. 65 comma 2 lett. e), f), g), h) del d.lgs. 36/2023 la cauzione provvisoria dovrà essere prestata a favore di tutti i componenti l’aggregazione medesima che devono essere espressamente indicati; inoltre la riduzione della garanzia sarà possibile solo se tutte le Ditte costituenti l’aggregazione siano in possesso della certificazione di qualità sulla base delle norme europee UNI CEI ISO 9000 e/o delle ulteriori certificazioni per beneficiare delle rispettive riduzioni di cui all’art. 106 comma 8 del d.lgs. 36/2023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garanzia dovrà: </w:t>
      </w:r>
    </w:p>
    <w:p w:rsidR="00065EFA" w:rsidRDefault="00A73CA4">
      <w:pPr>
        <w:pBdr>
          <w:top w:val="nil"/>
          <w:left w:val="nil"/>
          <w:bottom w:val="nil"/>
          <w:right w:val="nil"/>
          <w:between w:val="nil"/>
        </w:pBdr>
        <w:spacing w:after="38"/>
        <w:rPr>
          <w:color w:val="000000"/>
          <w:sz w:val="22"/>
          <w:szCs w:val="22"/>
        </w:rPr>
      </w:pPr>
      <w:r>
        <w:rPr>
          <w:color w:val="000000"/>
          <w:sz w:val="22"/>
          <w:szCs w:val="22"/>
        </w:rPr>
        <w:t xml:space="preserve">• avere validità per almeno 365 giorni dalla data ultima di presentazione dell’offerta; </w:t>
      </w:r>
    </w:p>
    <w:p w:rsidR="00065EFA" w:rsidRDefault="00A73CA4">
      <w:pPr>
        <w:pBdr>
          <w:top w:val="nil"/>
          <w:left w:val="nil"/>
          <w:bottom w:val="nil"/>
          <w:right w:val="nil"/>
          <w:between w:val="nil"/>
        </w:pBdr>
        <w:spacing w:after="38"/>
        <w:jc w:val="both"/>
        <w:rPr>
          <w:color w:val="000000"/>
          <w:sz w:val="22"/>
          <w:szCs w:val="22"/>
        </w:rPr>
      </w:pPr>
      <w:r>
        <w:rPr>
          <w:color w:val="000000"/>
          <w:sz w:val="22"/>
          <w:szCs w:val="22"/>
        </w:rPr>
        <w:lastRenderedPageBreak/>
        <w:t xml:space="preserve">• prevedere espressamente la rinuncia del garante all’eccezione di cui all’art. 1957, comma 2, del Codice Civile; </w:t>
      </w:r>
    </w:p>
    <w:p w:rsidR="00065EFA" w:rsidRDefault="00A73CA4">
      <w:pPr>
        <w:pBdr>
          <w:top w:val="nil"/>
          <w:left w:val="nil"/>
          <w:bottom w:val="nil"/>
          <w:right w:val="nil"/>
          <w:between w:val="nil"/>
        </w:pBdr>
        <w:spacing w:after="38"/>
        <w:jc w:val="both"/>
        <w:rPr>
          <w:color w:val="000000"/>
          <w:sz w:val="22"/>
          <w:szCs w:val="22"/>
        </w:rPr>
      </w:pPr>
      <w:r>
        <w:rPr>
          <w:color w:val="000000"/>
          <w:sz w:val="22"/>
          <w:szCs w:val="22"/>
        </w:rPr>
        <w:t xml:space="preserve">• prevedere espressamente la rinuncia del garante al beneficio della preventiva escussione del debitore principale ai sensi dell’art. 1944 del Codice Civile;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 prevedere l’operatività della garanzia entro 15 giorni su semplice richiesta scritta della Stazione appaltante.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Stazione Appaltante, nell’atto con cui comunicherà ai non aggiudicatari l’intervenuta aggiudicazione, provvederà nei loro confronti allo svincolo della cauzione provvisoria. In ogni caso quest’ultima è svincolata automaticamente al momento della sottoscrizione del contratto.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caso di R.T.I. o Consorzio la cauzione provvisoria dovrà essere presentata: </w:t>
      </w:r>
    </w:p>
    <w:p w:rsidR="00065EFA" w:rsidRDefault="00A73CA4">
      <w:pPr>
        <w:numPr>
          <w:ilvl w:val="0"/>
          <w:numId w:val="13"/>
        </w:numPr>
        <w:pBdr>
          <w:top w:val="nil"/>
          <w:left w:val="nil"/>
          <w:bottom w:val="nil"/>
          <w:right w:val="nil"/>
          <w:between w:val="nil"/>
        </w:pBdr>
        <w:spacing w:after="23"/>
        <w:jc w:val="both"/>
        <w:rPr>
          <w:color w:val="000000"/>
          <w:sz w:val="22"/>
          <w:szCs w:val="22"/>
        </w:rPr>
      </w:pPr>
      <w:r>
        <w:rPr>
          <w:color w:val="000000"/>
          <w:sz w:val="22"/>
          <w:szCs w:val="22"/>
        </w:rPr>
        <w:t xml:space="preserve"> in caso di R.T.I. costituito, dalla Ditta mandataria ed essere intestata alla medesima; </w:t>
      </w:r>
    </w:p>
    <w:p w:rsidR="00065EFA" w:rsidRDefault="00A73CA4">
      <w:pPr>
        <w:numPr>
          <w:ilvl w:val="0"/>
          <w:numId w:val="13"/>
        </w:numPr>
        <w:pBdr>
          <w:top w:val="nil"/>
          <w:left w:val="nil"/>
          <w:bottom w:val="nil"/>
          <w:right w:val="nil"/>
          <w:between w:val="nil"/>
        </w:pBdr>
        <w:spacing w:after="23"/>
        <w:jc w:val="both"/>
        <w:rPr>
          <w:color w:val="000000"/>
          <w:sz w:val="22"/>
          <w:szCs w:val="22"/>
        </w:rPr>
      </w:pPr>
      <w:r>
        <w:rPr>
          <w:color w:val="000000"/>
          <w:sz w:val="22"/>
          <w:szCs w:val="22"/>
        </w:rPr>
        <w:t xml:space="preserve"> in caso di R.T.I. costituendo, da una delle Ditte </w:t>
      </w:r>
      <w:proofErr w:type="spellStart"/>
      <w:r>
        <w:rPr>
          <w:color w:val="000000"/>
          <w:sz w:val="22"/>
          <w:szCs w:val="22"/>
        </w:rPr>
        <w:t>raggruppande</w:t>
      </w:r>
      <w:proofErr w:type="spellEnd"/>
      <w:r>
        <w:rPr>
          <w:color w:val="000000"/>
          <w:sz w:val="22"/>
          <w:szCs w:val="22"/>
        </w:rPr>
        <w:t xml:space="preserve"> ed essere intestata a tutte le Ditte del costituendo raggruppamento; </w:t>
      </w:r>
    </w:p>
    <w:p w:rsidR="00065EFA" w:rsidRDefault="00A73CA4">
      <w:pPr>
        <w:numPr>
          <w:ilvl w:val="0"/>
          <w:numId w:val="13"/>
        </w:numPr>
        <w:pBdr>
          <w:top w:val="nil"/>
          <w:left w:val="nil"/>
          <w:bottom w:val="nil"/>
          <w:right w:val="nil"/>
          <w:between w:val="nil"/>
        </w:pBdr>
        <w:jc w:val="both"/>
        <w:rPr>
          <w:color w:val="000000"/>
          <w:sz w:val="22"/>
          <w:szCs w:val="22"/>
        </w:rPr>
      </w:pPr>
      <w:r>
        <w:rPr>
          <w:color w:val="000000"/>
          <w:sz w:val="22"/>
          <w:szCs w:val="22"/>
        </w:rPr>
        <w:t xml:space="preserve">in caso di Consorzio, dal Consorzio medesimo ed essere intestata a quest’ultimo.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È sanabile, mediante soccorso istruttorio, la mancata presentazione della garanzia provvisoria e/o dell’impegno a rilasciare garanzia fideiussoria definitiva solo a condizione che siano stati già costituiti prima della presentazione dell’offerta. È onere dell’operatore economico dimostrare che tali documenti siano costituiti in data non successiva al termine di scadenza della presentazione delle offerte. Ai sensi dell’art. 20 del d.lgs. 82/2005, la data e l’ora di formazione del documento informatico sono opponibili ai terzi se apposte in conformità alle regole tecniche sulla validazione (es.: marcatura temporale).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È sanabile, altresì, la presentazione di una garanzia di valore inferiore o priva di una o più caratteristiche tra quelle sopra indicate (intestazione solo ad alcuni partecipanti al RTI, carenza delle clausole obbligatorie, etc.). </w:t>
      </w:r>
    </w:p>
    <w:p w:rsidR="00065EFA" w:rsidRDefault="00A73CA4">
      <w:pPr>
        <w:pBdr>
          <w:top w:val="nil"/>
          <w:left w:val="nil"/>
          <w:bottom w:val="nil"/>
          <w:right w:val="nil"/>
          <w:between w:val="nil"/>
        </w:pBdr>
        <w:tabs>
          <w:tab w:val="right" w:pos="9628"/>
        </w:tabs>
        <w:jc w:val="both"/>
        <w:rPr>
          <w:color w:val="000000"/>
          <w:sz w:val="22"/>
          <w:szCs w:val="22"/>
        </w:rPr>
      </w:pPr>
      <w:r>
        <w:rPr>
          <w:color w:val="000000"/>
          <w:sz w:val="22"/>
          <w:szCs w:val="22"/>
        </w:rPr>
        <w:t>Non è sanabile - e quindi è causa di esclusione - la sottoscrizione della garanzia provvisoria da parte di un soggetto non legittimato a rilasciare la garanzia o non autorizzato ad impegnare il garante.</w:t>
      </w:r>
    </w:p>
    <w:p w:rsidR="00065EFA" w:rsidRDefault="00065EFA">
      <w:pPr>
        <w:pBdr>
          <w:top w:val="nil"/>
          <w:left w:val="nil"/>
          <w:bottom w:val="nil"/>
          <w:right w:val="nil"/>
          <w:between w:val="nil"/>
        </w:pBdr>
        <w:tabs>
          <w:tab w:val="right" w:pos="9628"/>
        </w:tabs>
        <w:rPr>
          <w:color w:val="000000"/>
          <w:sz w:val="22"/>
          <w:szCs w:val="22"/>
        </w:rPr>
      </w:pPr>
    </w:p>
    <w:p w:rsidR="00065EFA" w:rsidRDefault="00A73CA4">
      <w:pPr>
        <w:pBdr>
          <w:top w:val="nil"/>
          <w:left w:val="nil"/>
          <w:bottom w:val="nil"/>
          <w:right w:val="nil"/>
          <w:between w:val="nil"/>
        </w:pBdr>
        <w:tabs>
          <w:tab w:val="right" w:pos="9628"/>
        </w:tabs>
        <w:jc w:val="both"/>
        <w:rPr>
          <w:color w:val="000000"/>
          <w:sz w:val="22"/>
          <w:szCs w:val="22"/>
        </w:rPr>
      </w:pPr>
      <w:r>
        <w:rPr>
          <w:b/>
          <w:bCs/>
          <w:color w:val="000000"/>
          <w:sz w:val="22"/>
          <w:szCs w:val="22"/>
        </w:rPr>
        <w:t>ART.6– MANCANZA, INCOMPLETEZZA E IRREGOLARITA’ DELLE DICHIARAZIONI SOSTITUTIVE</w:t>
      </w:r>
    </w:p>
    <w:p w:rsidR="00065EFA" w:rsidRDefault="00A73CA4">
      <w:pPr>
        <w:pBdr>
          <w:top w:val="nil"/>
          <w:left w:val="nil"/>
          <w:bottom w:val="nil"/>
          <w:right w:val="nil"/>
          <w:between w:val="nil"/>
        </w:pBdr>
        <w:tabs>
          <w:tab w:val="right" w:pos="9628"/>
        </w:tabs>
        <w:jc w:val="both"/>
        <w:rPr>
          <w:color w:val="000000"/>
          <w:sz w:val="22"/>
          <w:szCs w:val="22"/>
        </w:rPr>
      </w:pPr>
      <w:r>
        <w:rPr>
          <w:color w:val="000000"/>
          <w:sz w:val="22"/>
          <w:szCs w:val="22"/>
        </w:rPr>
        <w:t xml:space="preserve">Ai sensi dell’art. 101 del D.lgs. 36/2023, in caso di mancanza, incompletezza e di ogni altra irregolarità essenziale degli elementi e delle dichiarazioni sostitutive di carattere amministrativo, la stazione appaltante assegnerà al concorrente un termine, non superiore a dieci giorni, perché siano rese, integrate o regolarizzate le dichiarazioni necessarie. In caso di inutile decorso del termine di regolarizzazione, il concorrente sarà escluso dall’indagine di mercato. Non si darà corso al soccorso istruttorio per le offerte tecniche ed economiche fatto salvo di quanto previsto dall’art. 101 comma 3 del </w:t>
      </w:r>
      <w:proofErr w:type="spellStart"/>
      <w:r>
        <w:rPr>
          <w:color w:val="000000"/>
          <w:sz w:val="22"/>
          <w:szCs w:val="22"/>
        </w:rPr>
        <w:t>DLgs</w:t>
      </w:r>
      <w:proofErr w:type="spellEnd"/>
      <w:r>
        <w:rPr>
          <w:color w:val="000000"/>
          <w:sz w:val="22"/>
          <w:szCs w:val="22"/>
        </w:rPr>
        <w:t xml:space="preserve"> 36/2023.</w:t>
      </w:r>
    </w:p>
    <w:p w:rsidR="00065EFA" w:rsidRDefault="00065EFA">
      <w:pPr>
        <w:pBdr>
          <w:top w:val="nil"/>
          <w:left w:val="nil"/>
          <w:bottom w:val="nil"/>
          <w:right w:val="nil"/>
          <w:between w:val="nil"/>
        </w:pBdr>
        <w:tabs>
          <w:tab w:val="right" w:pos="9628"/>
        </w:tabs>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Art. 7 - VERIFICHE SUL POSSESSO DEI REQUISITI/AVCPASS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stazione appaltante, al termine delle operazioni di gara, ai sensi dell’art. 50 comma 6 del d.lgs. 36/2023, verificherà il possesso dei requisiti economici, finanziari e patrimoniali e gli eventuali motivi di esclusione al Capo II “i requisiti di ordine generale” (da art. 94 a art. 98) del d.lgs.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Art. 8 - CRITERI DI AGGIUDICAZIONE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L’assegnazione della fornitura sarà effettuata a favore dell’offerta economicamente più vantaggiosa ai sensi dell’art. 108 </w:t>
      </w:r>
      <w:proofErr w:type="spellStart"/>
      <w:r>
        <w:rPr>
          <w:color w:val="000000"/>
          <w:sz w:val="22"/>
          <w:szCs w:val="22"/>
        </w:rPr>
        <w:t>D.Lgs.</w:t>
      </w:r>
      <w:proofErr w:type="spellEnd"/>
      <w:r>
        <w:rPr>
          <w:color w:val="000000"/>
          <w:sz w:val="22"/>
          <w:szCs w:val="22"/>
        </w:rPr>
        <w:t xml:space="preserve"> 36/2023, in base ai seguenti elementi: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Qualità: punteggio massimo punti 70/100 </w:t>
      </w:r>
    </w:p>
    <w:p w:rsidR="00065EFA" w:rsidRDefault="00A73CA4">
      <w:pPr>
        <w:pBdr>
          <w:top w:val="nil"/>
          <w:left w:val="nil"/>
          <w:bottom w:val="nil"/>
          <w:right w:val="nil"/>
          <w:between w:val="nil"/>
        </w:pBdr>
        <w:rPr>
          <w:color w:val="000000"/>
          <w:sz w:val="22"/>
          <w:szCs w:val="22"/>
        </w:rPr>
      </w:pPr>
      <w:r>
        <w:rPr>
          <w:b/>
          <w:bCs/>
          <w:color w:val="000000"/>
          <w:sz w:val="22"/>
          <w:szCs w:val="22"/>
        </w:rPr>
        <w:t xml:space="preserve">Prezzo: punteggio massimo punti 30/100 </w:t>
      </w:r>
    </w:p>
    <w:p w:rsidR="00065EFA" w:rsidRDefault="00A73CA4">
      <w:pPr>
        <w:numPr>
          <w:ilvl w:val="0"/>
          <w:numId w:val="14"/>
        </w:numPr>
        <w:pBdr>
          <w:top w:val="nil"/>
          <w:left w:val="nil"/>
          <w:bottom w:val="nil"/>
          <w:right w:val="nil"/>
          <w:between w:val="nil"/>
        </w:pBdr>
        <w:rPr>
          <w:color w:val="000000"/>
          <w:sz w:val="22"/>
          <w:szCs w:val="22"/>
        </w:rPr>
      </w:pPr>
      <w:r>
        <w:rPr>
          <w:b/>
          <w:bCs/>
          <w:color w:val="000000"/>
          <w:sz w:val="22"/>
          <w:szCs w:val="22"/>
        </w:rPr>
        <w:t xml:space="preserve">a) Qualità </w:t>
      </w:r>
    </w:p>
    <w:p w:rsidR="00065EFA" w:rsidRDefault="00065EFA">
      <w:pPr>
        <w:pBdr>
          <w:top w:val="nil"/>
          <w:left w:val="nil"/>
          <w:bottom w:val="nil"/>
          <w:right w:val="nil"/>
          <w:between w:val="nil"/>
        </w:pBdr>
        <w:rPr>
          <w:color w:val="000000"/>
          <w:sz w:val="22"/>
          <w:szCs w:val="22"/>
        </w:rPr>
      </w:pPr>
    </w:p>
    <w:p w:rsidR="00065EFA" w:rsidRDefault="00A73CA4">
      <w:pPr>
        <w:jc w:val="both"/>
        <w:rPr>
          <w:color w:val="000000"/>
          <w:sz w:val="22"/>
          <w:szCs w:val="22"/>
        </w:rPr>
      </w:pPr>
      <w:bookmarkStart w:id="7" w:name="_heading=h.nzx5pgualh5y" w:colFirst="0" w:colLast="0"/>
      <w:bookmarkEnd w:id="7"/>
      <w:r>
        <w:rPr>
          <w:color w:val="000000"/>
          <w:sz w:val="22"/>
          <w:szCs w:val="22"/>
        </w:rPr>
        <w:t>I 70 punti disponibili per il coefficiente qualità saranno attribuiti da un apposito Gruppo di esperti nominato dalla Stazione Appaltante, che esaminerà le caratteristiche tecnico-qualitative, sulla base della Documentazione tecnica presentata, secondo i seguenti criteri (Q: criterio quantitativo; T: criterio tabellare).</w:t>
      </w:r>
    </w:p>
    <w:p w:rsidR="00065EFA" w:rsidRDefault="00A73CA4">
      <w:pPr>
        <w:tabs>
          <w:tab w:val="left" w:pos="480"/>
        </w:tabs>
        <w:jc w:val="both"/>
        <w:rPr>
          <w:color w:val="000000"/>
          <w:sz w:val="22"/>
          <w:szCs w:val="22"/>
        </w:rPr>
      </w:pPr>
      <w:r>
        <w:rPr>
          <w:color w:val="000000"/>
          <w:sz w:val="22"/>
          <w:szCs w:val="22"/>
        </w:rPr>
        <w:tab/>
      </w:r>
    </w:p>
    <w:p w:rsidR="00065EFA" w:rsidRDefault="00065EFA">
      <w:pPr>
        <w:pBdr>
          <w:top w:val="nil"/>
          <w:left w:val="nil"/>
          <w:bottom w:val="nil"/>
          <w:right w:val="nil"/>
          <w:between w:val="nil"/>
        </w:pBdr>
        <w:jc w:val="both"/>
        <w:rPr>
          <w:color w:val="000000"/>
          <w:sz w:val="22"/>
          <w:szCs w:val="22"/>
        </w:rPr>
      </w:pPr>
    </w:p>
    <w:tbl>
      <w:tblPr>
        <w:tblStyle w:val="a9"/>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3118"/>
        <w:gridCol w:w="1276"/>
        <w:gridCol w:w="2126"/>
        <w:gridCol w:w="1134"/>
      </w:tblGrid>
      <w:tr w:rsidR="00065EFA" w:rsidTr="000D2BC3">
        <w:tc>
          <w:tcPr>
            <w:tcW w:w="2122" w:type="dxa"/>
            <w:vMerge w:val="restart"/>
          </w:tcPr>
          <w:p w:rsidR="00065EFA" w:rsidRDefault="00065EFA">
            <w:pPr>
              <w:jc w:val="both"/>
            </w:pPr>
            <w:bookmarkStart w:id="8" w:name="_heading=h.7dlyfxhxrz37" w:colFirst="0" w:colLast="0"/>
            <w:bookmarkEnd w:id="8"/>
          </w:p>
        </w:tc>
        <w:tc>
          <w:tcPr>
            <w:tcW w:w="3118" w:type="dxa"/>
            <w:vMerge w:val="restart"/>
          </w:tcPr>
          <w:p w:rsidR="00065EFA" w:rsidRDefault="00A73CA4">
            <w:pPr>
              <w:jc w:val="both"/>
            </w:pPr>
            <w:r>
              <w:t>Caratteristiche preferenziali</w:t>
            </w:r>
          </w:p>
        </w:tc>
        <w:tc>
          <w:tcPr>
            <w:tcW w:w="3402" w:type="dxa"/>
            <w:gridSpan w:val="2"/>
          </w:tcPr>
          <w:p w:rsidR="00065EFA" w:rsidRDefault="00A73CA4">
            <w:pPr>
              <w:jc w:val="both"/>
            </w:pPr>
            <w:r>
              <w:t>Assegnazione punteggio</w:t>
            </w:r>
          </w:p>
        </w:tc>
        <w:tc>
          <w:tcPr>
            <w:tcW w:w="1134" w:type="dxa"/>
            <w:vMerge w:val="restart"/>
          </w:tcPr>
          <w:p w:rsidR="00065EFA" w:rsidRDefault="00A73CA4">
            <w:pPr>
              <w:jc w:val="center"/>
              <w:rPr>
                <w:b/>
                <w:bCs/>
              </w:rPr>
            </w:pPr>
            <w:r>
              <w:rPr>
                <w:b/>
                <w:bCs/>
              </w:rPr>
              <w:t>Punteggio Massimo</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vMerge/>
          </w:tcPr>
          <w:p w:rsidR="00065EFA" w:rsidRDefault="00065EFA">
            <w:pPr>
              <w:widowControl w:val="0"/>
              <w:pBdr>
                <w:top w:val="nil"/>
                <w:left w:val="nil"/>
                <w:bottom w:val="nil"/>
                <w:right w:val="nil"/>
                <w:between w:val="nil"/>
              </w:pBdr>
              <w:spacing w:line="276" w:lineRule="auto"/>
              <w:rPr>
                <w:b/>
                <w:bCs/>
              </w:rPr>
            </w:pPr>
          </w:p>
        </w:tc>
        <w:tc>
          <w:tcPr>
            <w:tcW w:w="1276" w:type="dxa"/>
          </w:tcPr>
          <w:p w:rsidR="00065EFA" w:rsidRDefault="00A73CA4">
            <w:pPr>
              <w:jc w:val="both"/>
              <w:rPr>
                <w:b/>
                <w:bCs/>
              </w:rPr>
            </w:pPr>
            <w:r>
              <w:rPr>
                <w:b/>
                <w:bCs/>
                <w:color w:val="000000"/>
              </w:rPr>
              <w:t>T: criterio tabellare</w:t>
            </w:r>
          </w:p>
        </w:tc>
        <w:tc>
          <w:tcPr>
            <w:tcW w:w="2126" w:type="dxa"/>
            <w:vAlign w:val="center"/>
          </w:tcPr>
          <w:p w:rsidR="00065EFA" w:rsidRDefault="00A73CA4">
            <w:pPr>
              <w:rPr>
                <w:b/>
                <w:bCs/>
              </w:rPr>
            </w:pPr>
            <w:r>
              <w:rPr>
                <w:b/>
                <w:bCs/>
                <w:color w:val="000000"/>
              </w:rPr>
              <w:t>Q: criterio quantitativo</w:t>
            </w:r>
          </w:p>
        </w:tc>
        <w:tc>
          <w:tcPr>
            <w:tcW w:w="1134" w:type="dxa"/>
            <w:vMerge/>
          </w:tcPr>
          <w:p w:rsidR="00065EFA" w:rsidRDefault="00065EFA">
            <w:pPr>
              <w:widowControl w:val="0"/>
              <w:pBdr>
                <w:top w:val="nil"/>
                <w:left w:val="nil"/>
                <w:bottom w:val="nil"/>
                <w:right w:val="nil"/>
                <w:between w:val="nil"/>
              </w:pBdr>
              <w:spacing w:line="276" w:lineRule="auto"/>
              <w:rPr>
                <w:b/>
                <w:bCs/>
              </w:rPr>
            </w:pPr>
          </w:p>
        </w:tc>
      </w:tr>
      <w:tr w:rsidR="00065EFA" w:rsidTr="000D2BC3">
        <w:tc>
          <w:tcPr>
            <w:tcW w:w="2122" w:type="dxa"/>
            <w:vMerge w:val="restart"/>
          </w:tcPr>
          <w:p w:rsidR="00065EFA" w:rsidRDefault="00A73CA4">
            <w:pPr>
              <w:jc w:val="both"/>
            </w:pPr>
            <w:r>
              <w:rPr>
                <w:b/>
                <w:bCs/>
              </w:rPr>
              <w:t xml:space="preserve">Per i test molecolari a singolo gene KRAS, </w:t>
            </w:r>
            <w:proofErr w:type="gramStart"/>
            <w:r>
              <w:rPr>
                <w:b/>
                <w:bCs/>
              </w:rPr>
              <w:t>BRAF,NRAS</w:t>
            </w:r>
            <w:proofErr w:type="gramEnd"/>
            <w:r>
              <w:rPr>
                <w:b/>
                <w:bCs/>
              </w:rPr>
              <w:t>,HRAS, EGFR</w:t>
            </w:r>
          </w:p>
        </w:tc>
        <w:tc>
          <w:tcPr>
            <w:tcW w:w="3118" w:type="dxa"/>
          </w:tcPr>
          <w:p w:rsidR="00065EFA" w:rsidRDefault="00A73CA4">
            <w:pPr>
              <w:jc w:val="both"/>
            </w:pPr>
            <w:r>
              <w:t>Tempo di analisi a partire da DNA estratto inferiore alle 3 h</w:t>
            </w:r>
          </w:p>
        </w:tc>
        <w:tc>
          <w:tcPr>
            <w:tcW w:w="1276" w:type="dxa"/>
          </w:tcPr>
          <w:p w:rsidR="00065EFA" w:rsidRDefault="00065EFA">
            <w:pPr>
              <w:jc w:val="both"/>
            </w:pPr>
          </w:p>
        </w:tc>
        <w:tc>
          <w:tcPr>
            <w:tcW w:w="2126" w:type="dxa"/>
          </w:tcPr>
          <w:p w:rsidR="00065EFA" w:rsidRPr="00A73CA4" w:rsidRDefault="00A73CA4">
            <w:pPr>
              <w:numPr>
                <w:ilvl w:val="0"/>
                <w:numId w:val="22"/>
              </w:numPr>
              <w:pBdr>
                <w:top w:val="nil"/>
                <w:left w:val="nil"/>
                <w:bottom w:val="nil"/>
                <w:right w:val="nil"/>
                <w:between w:val="nil"/>
              </w:pBdr>
              <w:ind w:left="314"/>
              <w:jc w:val="both"/>
              <w:rPr>
                <w:rFonts w:ascii="Times" w:eastAsia="Times" w:hAnsi="Times" w:cs="Times"/>
              </w:rPr>
            </w:pPr>
            <w:r w:rsidRPr="00A73CA4">
              <w:rPr>
                <w:rFonts w:ascii="Times" w:eastAsia="Times" w:hAnsi="Times" w:cs="Times"/>
              </w:rPr>
              <w:t xml:space="preserve">Meno </w:t>
            </w:r>
            <w:r w:rsidR="00EC217D">
              <w:rPr>
                <w:rFonts w:ascii="Times" w:eastAsia="Times" w:hAnsi="Times" w:cs="Times"/>
              </w:rPr>
              <w:t xml:space="preserve">o pari </w:t>
            </w:r>
            <w:proofErr w:type="gramStart"/>
            <w:r w:rsidR="00EC217D">
              <w:rPr>
                <w:rFonts w:ascii="Times" w:eastAsia="Times" w:hAnsi="Times" w:cs="Times"/>
              </w:rPr>
              <w:t xml:space="preserve">a </w:t>
            </w:r>
            <w:r w:rsidRPr="00A73CA4">
              <w:rPr>
                <w:rFonts w:ascii="Times" w:eastAsia="Times" w:hAnsi="Times" w:cs="Times"/>
              </w:rPr>
              <w:t xml:space="preserve"> 3</w:t>
            </w:r>
            <w:proofErr w:type="gramEnd"/>
            <w:r w:rsidRPr="00A73CA4">
              <w:rPr>
                <w:rFonts w:ascii="Times" w:eastAsia="Times" w:hAnsi="Times" w:cs="Times"/>
              </w:rPr>
              <w:t xml:space="preserve"> h=7 </w:t>
            </w:r>
            <w:proofErr w:type="spellStart"/>
            <w:r w:rsidRPr="00A73CA4">
              <w:rPr>
                <w:rFonts w:ascii="Times" w:eastAsia="Times" w:hAnsi="Times" w:cs="Times"/>
              </w:rPr>
              <w:t>pt</w:t>
            </w:r>
            <w:proofErr w:type="spellEnd"/>
          </w:p>
          <w:p w:rsidR="00065EFA" w:rsidRPr="00A73CA4" w:rsidRDefault="00065EFA">
            <w:pPr>
              <w:ind w:left="314"/>
              <w:jc w:val="both"/>
            </w:pPr>
          </w:p>
          <w:p w:rsidR="00065EFA" w:rsidRPr="00A73CA4" w:rsidRDefault="00E326C1">
            <w:pPr>
              <w:numPr>
                <w:ilvl w:val="0"/>
                <w:numId w:val="22"/>
              </w:numPr>
              <w:pBdr>
                <w:top w:val="nil"/>
                <w:left w:val="nil"/>
                <w:bottom w:val="nil"/>
                <w:right w:val="nil"/>
                <w:between w:val="nil"/>
              </w:pBdr>
              <w:ind w:left="314"/>
              <w:jc w:val="both"/>
              <w:rPr>
                <w:rFonts w:ascii="Times" w:eastAsia="Times" w:hAnsi="Times" w:cs="Times"/>
                <w:sz w:val="24"/>
                <w:szCs w:val="24"/>
              </w:rPr>
            </w:pPr>
            <w:r>
              <w:rPr>
                <w:rFonts w:ascii="Times" w:eastAsia="Times" w:hAnsi="Times" w:cs="Times"/>
              </w:rPr>
              <w:t xml:space="preserve"> </w:t>
            </w:r>
            <w:r w:rsidR="00A73CA4" w:rsidRPr="00A73CA4">
              <w:rPr>
                <w:rFonts w:ascii="Times" w:eastAsia="Times" w:hAnsi="Times" w:cs="Times"/>
              </w:rPr>
              <w:t xml:space="preserve">Superiore a </w:t>
            </w:r>
            <w:r>
              <w:rPr>
                <w:rFonts w:ascii="Times" w:eastAsia="Times" w:hAnsi="Times" w:cs="Times"/>
              </w:rPr>
              <w:t>3</w:t>
            </w:r>
            <w:r w:rsidRPr="00A73CA4">
              <w:rPr>
                <w:rFonts w:ascii="Times" w:eastAsia="Times" w:hAnsi="Times" w:cs="Times"/>
              </w:rPr>
              <w:t>h</w:t>
            </w:r>
            <w:r w:rsidR="00A73CA4" w:rsidRPr="00A73CA4">
              <w:rPr>
                <w:rFonts w:ascii="Times" w:eastAsia="Times" w:hAnsi="Times" w:cs="Times"/>
              </w:rPr>
              <w:t xml:space="preserve">=0 </w:t>
            </w:r>
            <w:proofErr w:type="spellStart"/>
            <w:r w:rsidR="00A73CA4" w:rsidRPr="00A73CA4">
              <w:rPr>
                <w:rFonts w:ascii="Times" w:eastAsia="Times" w:hAnsi="Times" w:cs="Times"/>
              </w:rPr>
              <w:t>pt</w:t>
            </w:r>
            <w:proofErr w:type="spellEnd"/>
          </w:p>
        </w:tc>
        <w:tc>
          <w:tcPr>
            <w:tcW w:w="1134" w:type="dxa"/>
          </w:tcPr>
          <w:p w:rsidR="00065EFA" w:rsidRDefault="00A73CA4">
            <w:pPr>
              <w:jc w:val="center"/>
              <w:rPr>
                <w:b/>
                <w:bCs/>
              </w:rPr>
            </w:pPr>
            <w:r>
              <w:rPr>
                <w:b/>
                <w:bCs/>
              </w:rPr>
              <w:t>7</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Hands on time, come tempo operatore necessario al workflow</w:t>
            </w:r>
          </w:p>
        </w:tc>
        <w:tc>
          <w:tcPr>
            <w:tcW w:w="1276" w:type="dxa"/>
          </w:tcPr>
          <w:p w:rsidR="00065EFA" w:rsidRDefault="00065EFA">
            <w:pPr>
              <w:jc w:val="both"/>
            </w:pPr>
          </w:p>
        </w:tc>
        <w:tc>
          <w:tcPr>
            <w:tcW w:w="2126" w:type="dxa"/>
          </w:tcPr>
          <w:p w:rsidR="00065EFA" w:rsidRPr="00A73CA4" w:rsidRDefault="00A73CA4">
            <w:pPr>
              <w:jc w:val="both"/>
            </w:pPr>
            <w:r w:rsidRPr="00A73CA4">
              <w:t xml:space="preserve">Meno di 10’=7 </w:t>
            </w:r>
            <w:proofErr w:type="spellStart"/>
            <w:r w:rsidRPr="00A73CA4">
              <w:t>pt</w:t>
            </w:r>
            <w:proofErr w:type="spellEnd"/>
          </w:p>
          <w:p w:rsidR="00065EFA" w:rsidRPr="00A73CA4" w:rsidRDefault="00A73CA4">
            <w:pPr>
              <w:jc w:val="both"/>
            </w:pPr>
            <w:r w:rsidRPr="00A73CA4">
              <w:t xml:space="preserve">Tra 10’e 15’=3 </w:t>
            </w:r>
            <w:proofErr w:type="spellStart"/>
            <w:r w:rsidRPr="00A73CA4">
              <w:t>pt</w:t>
            </w:r>
            <w:proofErr w:type="spellEnd"/>
          </w:p>
          <w:p w:rsidR="00065EFA" w:rsidRPr="00A73CA4" w:rsidRDefault="00A73CA4">
            <w:pPr>
              <w:jc w:val="both"/>
            </w:pPr>
            <w:r w:rsidRPr="00A73CA4">
              <w:t xml:space="preserve">Superiore a 15’=0 </w:t>
            </w:r>
            <w:proofErr w:type="spellStart"/>
            <w:r w:rsidRPr="00A73CA4">
              <w:t>pt</w:t>
            </w:r>
            <w:proofErr w:type="spellEnd"/>
          </w:p>
        </w:tc>
        <w:tc>
          <w:tcPr>
            <w:tcW w:w="1134" w:type="dxa"/>
          </w:tcPr>
          <w:p w:rsidR="00065EFA" w:rsidRDefault="00A73CA4">
            <w:pPr>
              <w:jc w:val="center"/>
              <w:rPr>
                <w:b/>
                <w:bCs/>
              </w:rPr>
            </w:pPr>
            <w:r>
              <w:rPr>
                <w:b/>
                <w:bCs/>
              </w:rPr>
              <w:t>7</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Kit per mutazioni validati sia per uso da DNA estratto da plasma (</w:t>
            </w:r>
            <w:proofErr w:type="spellStart"/>
            <w:r>
              <w:t>ctDNA</w:t>
            </w:r>
            <w:proofErr w:type="spellEnd"/>
            <w:r>
              <w:t>) che da tessuto FFPE</w:t>
            </w:r>
          </w:p>
        </w:tc>
        <w:tc>
          <w:tcPr>
            <w:tcW w:w="1276" w:type="dxa"/>
          </w:tcPr>
          <w:p w:rsidR="00065EFA" w:rsidRDefault="00A73CA4">
            <w:pPr>
              <w:jc w:val="both"/>
            </w:pPr>
            <w:r>
              <w:t>SI/NO</w:t>
            </w:r>
          </w:p>
        </w:tc>
        <w:tc>
          <w:tcPr>
            <w:tcW w:w="2126" w:type="dxa"/>
          </w:tcPr>
          <w:p w:rsidR="00065EFA" w:rsidRPr="00A73CA4" w:rsidRDefault="00065EFA">
            <w:pPr>
              <w:jc w:val="both"/>
            </w:pPr>
          </w:p>
        </w:tc>
        <w:tc>
          <w:tcPr>
            <w:tcW w:w="1134" w:type="dxa"/>
          </w:tcPr>
          <w:p w:rsidR="00065EFA" w:rsidRDefault="00A73CA4">
            <w:pPr>
              <w:jc w:val="center"/>
              <w:rPr>
                <w:b/>
                <w:bCs/>
              </w:rPr>
            </w:pPr>
            <w:r>
              <w:rPr>
                <w:b/>
                <w:bCs/>
              </w:rPr>
              <w:t>7</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 xml:space="preserve">Presenza di controllo interno con </w:t>
            </w:r>
            <w:proofErr w:type="spellStart"/>
            <w:r>
              <w:t>coamplificazione</w:t>
            </w:r>
            <w:proofErr w:type="spellEnd"/>
            <w:r>
              <w:t xml:space="preserve"> del gene target e di un gene di controllo endogeno al fine di monitorare eventuali errori legati alla mancata dispensazione del campione e/o alla presenza di inibitori</w:t>
            </w:r>
          </w:p>
        </w:tc>
        <w:tc>
          <w:tcPr>
            <w:tcW w:w="1276" w:type="dxa"/>
          </w:tcPr>
          <w:p w:rsidR="00065EFA" w:rsidRDefault="00A73CA4">
            <w:pPr>
              <w:jc w:val="both"/>
            </w:pPr>
            <w:r>
              <w:t>SI/NO</w:t>
            </w:r>
          </w:p>
        </w:tc>
        <w:tc>
          <w:tcPr>
            <w:tcW w:w="2126" w:type="dxa"/>
          </w:tcPr>
          <w:p w:rsidR="00065EFA" w:rsidRPr="00A73CA4" w:rsidRDefault="00065EFA">
            <w:pPr>
              <w:jc w:val="both"/>
            </w:pPr>
          </w:p>
        </w:tc>
        <w:tc>
          <w:tcPr>
            <w:tcW w:w="1134" w:type="dxa"/>
          </w:tcPr>
          <w:p w:rsidR="00065EFA" w:rsidRDefault="00A73CA4">
            <w:pPr>
              <w:jc w:val="center"/>
              <w:rPr>
                <w:b/>
                <w:bCs/>
              </w:rPr>
            </w:pPr>
            <w:r>
              <w:rPr>
                <w:b/>
                <w:bCs/>
              </w:rPr>
              <w:t>7</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 xml:space="preserve">Reagenti in formato pronto all’uso, in formato liofilo, </w:t>
            </w:r>
            <w:proofErr w:type="spellStart"/>
            <w:r>
              <w:t>prealiquotati</w:t>
            </w:r>
            <w:proofErr w:type="spellEnd"/>
            <w:r>
              <w:t xml:space="preserve"> e stabili a temperatura ambiente, senza necessità di scongelare, congelare o pipettare in ghiaccio.</w:t>
            </w:r>
          </w:p>
        </w:tc>
        <w:tc>
          <w:tcPr>
            <w:tcW w:w="1276" w:type="dxa"/>
          </w:tcPr>
          <w:p w:rsidR="00065EFA" w:rsidRDefault="00A73CA4">
            <w:pPr>
              <w:jc w:val="both"/>
            </w:pPr>
            <w:r>
              <w:t>SI/NO</w:t>
            </w:r>
          </w:p>
        </w:tc>
        <w:tc>
          <w:tcPr>
            <w:tcW w:w="2126" w:type="dxa"/>
          </w:tcPr>
          <w:p w:rsidR="00065EFA" w:rsidRPr="00A73CA4" w:rsidRDefault="00065EFA">
            <w:pPr>
              <w:jc w:val="both"/>
            </w:pPr>
          </w:p>
        </w:tc>
        <w:tc>
          <w:tcPr>
            <w:tcW w:w="1134" w:type="dxa"/>
          </w:tcPr>
          <w:p w:rsidR="00065EFA" w:rsidRDefault="00A73CA4">
            <w:pPr>
              <w:jc w:val="center"/>
              <w:rPr>
                <w:b/>
                <w:bCs/>
              </w:rPr>
            </w:pPr>
            <w:r>
              <w:rPr>
                <w:b/>
                <w:bCs/>
              </w:rPr>
              <w:t>8</w:t>
            </w:r>
          </w:p>
        </w:tc>
      </w:tr>
      <w:tr w:rsidR="00065EFA" w:rsidTr="000D2BC3">
        <w:trPr>
          <w:trHeight w:val="1453"/>
        </w:trPr>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Possibilità di eseguire nella stessa corsa l’analisi di più marcatori (stesso profilo termico)</w:t>
            </w:r>
          </w:p>
        </w:tc>
        <w:tc>
          <w:tcPr>
            <w:tcW w:w="1276" w:type="dxa"/>
          </w:tcPr>
          <w:p w:rsidR="00065EFA" w:rsidRDefault="00065EFA">
            <w:pPr>
              <w:jc w:val="both"/>
            </w:pPr>
          </w:p>
        </w:tc>
        <w:tc>
          <w:tcPr>
            <w:tcW w:w="2126" w:type="dxa"/>
          </w:tcPr>
          <w:p w:rsidR="00065EFA" w:rsidRPr="00A73CA4" w:rsidRDefault="00A73CA4">
            <w:pPr>
              <w:numPr>
                <w:ilvl w:val="0"/>
                <w:numId w:val="23"/>
              </w:numPr>
              <w:pBdr>
                <w:top w:val="nil"/>
                <w:left w:val="nil"/>
                <w:bottom w:val="nil"/>
                <w:right w:val="nil"/>
                <w:between w:val="nil"/>
              </w:pBdr>
              <w:ind w:left="320"/>
              <w:jc w:val="both"/>
              <w:rPr>
                <w:rFonts w:ascii="Times" w:eastAsia="Times" w:hAnsi="Times" w:cs="Times"/>
              </w:rPr>
            </w:pPr>
            <w:r w:rsidRPr="00A73CA4">
              <w:rPr>
                <w:rFonts w:ascii="Times" w:eastAsia="Times" w:hAnsi="Times" w:cs="Times"/>
              </w:rPr>
              <w:t xml:space="preserve">Tutti i </w:t>
            </w:r>
            <w:r w:rsidR="00E326C1">
              <w:rPr>
                <w:rFonts w:ascii="Times" w:eastAsia="Times" w:hAnsi="Times" w:cs="Times"/>
              </w:rPr>
              <w:t xml:space="preserve">5 </w:t>
            </w:r>
            <w:r w:rsidRPr="00A73CA4">
              <w:rPr>
                <w:rFonts w:ascii="Times" w:eastAsia="Times" w:hAnsi="Times" w:cs="Times"/>
              </w:rPr>
              <w:t xml:space="preserve">marcatori richiesti=7 </w:t>
            </w:r>
            <w:proofErr w:type="spellStart"/>
            <w:r w:rsidRPr="00A73CA4">
              <w:rPr>
                <w:rFonts w:ascii="Times" w:eastAsia="Times" w:hAnsi="Times" w:cs="Times"/>
              </w:rPr>
              <w:t>pt</w:t>
            </w:r>
            <w:proofErr w:type="spellEnd"/>
          </w:p>
          <w:p w:rsidR="00065EFA" w:rsidRPr="00A73CA4" w:rsidRDefault="00A73CA4">
            <w:pPr>
              <w:numPr>
                <w:ilvl w:val="0"/>
                <w:numId w:val="23"/>
              </w:numPr>
              <w:pBdr>
                <w:top w:val="nil"/>
                <w:left w:val="nil"/>
                <w:bottom w:val="nil"/>
                <w:right w:val="nil"/>
                <w:between w:val="nil"/>
              </w:pBdr>
              <w:ind w:left="320"/>
              <w:jc w:val="both"/>
              <w:rPr>
                <w:rFonts w:ascii="Times" w:eastAsia="Times" w:hAnsi="Times" w:cs="Times"/>
              </w:rPr>
            </w:pPr>
            <w:r w:rsidRPr="00A73CA4">
              <w:rPr>
                <w:rFonts w:ascii="Times" w:eastAsia="Times" w:hAnsi="Times" w:cs="Times"/>
              </w:rPr>
              <w:t xml:space="preserve">Tra 3 e 4 marcatori richiesti=3 </w:t>
            </w:r>
            <w:proofErr w:type="spellStart"/>
            <w:r w:rsidRPr="00A73CA4">
              <w:rPr>
                <w:rFonts w:ascii="Times" w:eastAsia="Times" w:hAnsi="Times" w:cs="Times"/>
              </w:rPr>
              <w:t>pt</w:t>
            </w:r>
            <w:proofErr w:type="spellEnd"/>
          </w:p>
          <w:p w:rsidR="00065EFA" w:rsidRPr="00A73CA4" w:rsidRDefault="00A73CA4">
            <w:pPr>
              <w:numPr>
                <w:ilvl w:val="0"/>
                <w:numId w:val="23"/>
              </w:numPr>
              <w:pBdr>
                <w:top w:val="nil"/>
                <w:left w:val="nil"/>
                <w:bottom w:val="nil"/>
                <w:right w:val="nil"/>
                <w:between w:val="nil"/>
              </w:pBdr>
              <w:ind w:left="320"/>
            </w:pPr>
            <w:r w:rsidRPr="00A73CA4">
              <w:rPr>
                <w:rFonts w:ascii="Times" w:eastAsia="Times" w:hAnsi="Times" w:cs="Times"/>
              </w:rPr>
              <w:t xml:space="preserve">2 marcatori richiesti=1 </w:t>
            </w:r>
            <w:proofErr w:type="spellStart"/>
            <w:r w:rsidRPr="00A73CA4">
              <w:rPr>
                <w:rFonts w:ascii="Times" w:eastAsia="Times" w:hAnsi="Times" w:cs="Times"/>
              </w:rPr>
              <w:t>pt</w:t>
            </w:r>
            <w:proofErr w:type="spellEnd"/>
          </w:p>
        </w:tc>
        <w:tc>
          <w:tcPr>
            <w:tcW w:w="1134" w:type="dxa"/>
          </w:tcPr>
          <w:p w:rsidR="00065EFA" w:rsidRDefault="00A73CA4">
            <w:pPr>
              <w:ind w:left="360"/>
              <w:rPr>
                <w:b/>
                <w:bCs/>
              </w:rPr>
            </w:pPr>
            <w:r>
              <w:rPr>
                <w:b/>
                <w:bCs/>
              </w:rPr>
              <w:t>7</w:t>
            </w:r>
          </w:p>
        </w:tc>
      </w:tr>
      <w:tr w:rsidR="00065EFA" w:rsidTr="000D2BC3">
        <w:tc>
          <w:tcPr>
            <w:tcW w:w="2122" w:type="dxa"/>
            <w:vMerge/>
          </w:tcPr>
          <w:p w:rsidR="00065EFA" w:rsidRDefault="00065EFA">
            <w:pPr>
              <w:widowControl w:val="0"/>
              <w:pBdr>
                <w:top w:val="nil"/>
                <w:left w:val="nil"/>
                <w:bottom w:val="nil"/>
                <w:right w:val="nil"/>
                <w:between w:val="nil"/>
              </w:pBdr>
              <w:spacing w:line="276" w:lineRule="auto"/>
              <w:rPr>
                <w:b/>
                <w:bCs/>
              </w:rPr>
            </w:pPr>
          </w:p>
        </w:tc>
        <w:tc>
          <w:tcPr>
            <w:tcW w:w="3118" w:type="dxa"/>
          </w:tcPr>
          <w:p w:rsidR="00065EFA" w:rsidRDefault="00A73CA4">
            <w:pPr>
              <w:jc w:val="both"/>
            </w:pPr>
            <w:r>
              <w:t>Kit identificati con strip di reazione identificate da diverso colore al fine di ottenere un facile ed immediato riconoscimento del marcatore da parte dell’operatore</w:t>
            </w:r>
          </w:p>
        </w:tc>
        <w:tc>
          <w:tcPr>
            <w:tcW w:w="1276" w:type="dxa"/>
          </w:tcPr>
          <w:p w:rsidR="00065EFA" w:rsidRDefault="00A73CA4">
            <w:pPr>
              <w:jc w:val="both"/>
            </w:pPr>
            <w:r>
              <w:t>SI/NO</w:t>
            </w:r>
          </w:p>
        </w:tc>
        <w:tc>
          <w:tcPr>
            <w:tcW w:w="2126" w:type="dxa"/>
          </w:tcPr>
          <w:p w:rsidR="00065EFA" w:rsidRPr="00A73CA4" w:rsidRDefault="00065EFA">
            <w:pPr>
              <w:jc w:val="both"/>
            </w:pPr>
          </w:p>
        </w:tc>
        <w:tc>
          <w:tcPr>
            <w:tcW w:w="1134" w:type="dxa"/>
          </w:tcPr>
          <w:p w:rsidR="00065EFA" w:rsidRDefault="00A73CA4">
            <w:pPr>
              <w:jc w:val="center"/>
              <w:rPr>
                <w:b/>
                <w:bCs/>
              </w:rPr>
            </w:pPr>
            <w:r>
              <w:rPr>
                <w:b/>
                <w:bCs/>
              </w:rPr>
              <w:t>3</w:t>
            </w:r>
          </w:p>
        </w:tc>
      </w:tr>
      <w:tr w:rsidR="00065EFA" w:rsidTr="000D2BC3">
        <w:tc>
          <w:tcPr>
            <w:tcW w:w="2122" w:type="dxa"/>
          </w:tcPr>
          <w:p w:rsidR="00065EFA" w:rsidRDefault="00A73CA4">
            <w:pPr>
              <w:jc w:val="both"/>
            </w:pPr>
            <w:r>
              <w:rPr>
                <w:b/>
                <w:bCs/>
              </w:rPr>
              <w:t>Per i test analisi di fusioni geniche polmone</w:t>
            </w:r>
          </w:p>
        </w:tc>
        <w:tc>
          <w:tcPr>
            <w:tcW w:w="3118" w:type="dxa"/>
          </w:tcPr>
          <w:p w:rsidR="00065EFA" w:rsidRDefault="00A73CA4">
            <w:pPr>
              <w:jc w:val="both"/>
            </w:pPr>
            <w:r>
              <w:t>Disponibilità di un unico kit per analisi di ALK, ROS1, RET, MET</w:t>
            </w:r>
          </w:p>
        </w:tc>
        <w:tc>
          <w:tcPr>
            <w:tcW w:w="1276" w:type="dxa"/>
          </w:tcPr>
          <w:p w:rsidR="00065EFA" w:rsidRDefault="00A73CA4">
            <w:pPr>
              <w:jc w:val="both"/>
            </w:pPr>
            <w:r>
              <w:t>SI/NO</w:t>
            </w:r>
          </w:p>
        </w:tc>
        <w:tc>
          <w:tcPr>
            <w:tcW w:w="2126" w:type="dxa"/>
          </w:tcPr>
          <w:p w:rsidR="00065EFA" w:rsidRDefault="00065EFA">
            <w:pPr>
              <w:jc w:val="both"/>
            </w:pPr>
          </w:p>
        </w:tc>
        <w:tc>
          <w:tcPr>
            <w:tcW w:w="1134" w:type="dxa"/>
          </w:tcPr>
          <w:p w:rsidR="00065EFA" w:rsidRDefault="00A73CA4">
            <w:pPr>
              <w:jc w:val="center"/>
              <w:rPr>
                <w:b/>
                <w:bCs/>
              </w:rPr>
            </w:pPr>
            <w:r>
              <w:rPr>
                <w:b/>
                <w:bCs/>
              </w:rPr>
              <w:t>6</w:t>
            </w:r>
          </w:p>
        </w:tc>
      </w:tr>
      <w:tr w:rsidR="00065EFA" w:rsidTr="000D2BC3">
        <w:trPr>
          <w:trHeight w:val="1265"/>
        </w:trPr>
        <w:tc>
          <w:tcPr>
            <w:tcW w:w="2122" w:type="dxa"/>
          </w:tcPr>
          <w:p w:rsidR="00065EFA" w:rsidRDefault="00A73CA4">
            <w:pPr>
              <w:jc w:val="both"/>
              <w:rPr>
                <w:b/>
                <w:bCs/>
                <w:highlight w:val="yellow"/>
              </w:rPr>
            </w:pPr>
            <w:r>
              <w:rPr>
                <w:b/>
                <w:bCs/>
              </w:rPr>
              <w:t>Per il test MGMT</w:t>
            </w:r>
          </w:p>
        </w:tc>
        <w:tc>
          <w:tcPr>
            <w:tcW w:w="3118" w:type="dxa"/>
          </w:tcPr>
          <w:p w:rsidR="00065EFA" w:rsidRDefault="00A73CA4">
            <w:pPr>
              <w:jc w:val="both"/>
            </w:pPr>
            <w:r>
              <w:t xml:space="preserve">Kit con rilevamento qualitativo mediante real-time </w:t>
            </w:r>
            <w:proofErr w:type="spellStart"/>
            <w:r>
              <w:t>pcr</w:t>
            </w:r>
            <w:proofErr w:type="spellEnd"/>
            <w:r>
              <w:t xml:space="preserve"> e successiva analisi di </w:t>
            </w:r>
            <w:proofErr w:type="spellStart"/>
            <w:r>
              <w:t>melt</w:t>
            </w:r>
            <w:proofErr w:type="spellEnd"/>
            <w:r>
              <w:t xml:space="preserve"> dello stato di metilazione di siti </w:t>
            </w:r>
            <w:proofErr w:type="spellStart"/>
            <w:r>
              <w:t>CpG</w:t>
            </w:r>
            <w:proofErr w:type="spellEnd"/>
            <w:r>
              <w:t xml:space="preserve"> del gene MGMT, che contenga tutti i reagenti necessari alla conversione con bisolfito.</w:t>
            </w:r>
          </w:p>
        </w:tc>
        <w:tc>
          <w:tcPr>
            <w:tcW w:w="1276" w:type="dxa"/>
          </w:tcPr>
          <w:p w:rsidR="00065EFA" w:rsidRDefault="00A73CA4">
            <w:pPr>
              <w:jc w:val="both"/>
            </w:pPr>
            <w:r>
              <w:t>SI/NO</w:t>
            </w:r>
          </w:p>
        </w:tc>
        <w:tc>
          <w:tcPr>
            <w:tcW w:w="2126" w:type="dxa"/>
          </w:tcPr>
          <w:p w:rsidR="00065EFA" w:rsidRDefault="00065EFA">
            <w:pPr>
              <w:jc w:val="both"/>
            </w:pPr>
          </w:p>
        </w:tc>
        <w:tc>
          <w:tcPr>
            <w:tcW w:w="1134" w:type="dxa"/>
          </w:tcPr>
          <w:p w:rsidR="00065EFA" w:rsidRDefault="00A73CA4">
            <w:pPr>
              <w:jc w:val="center"/>
              <w:rPr>
                <w:b/>
                <w:bCs/>
              </w:rPr>
            </w:pPr>
            <w:r>
              <w:rPr>
                <w:b/>
                <w:bCs/>
              </w:rPr>
              <w:t>6</w:t>
            </w:r>
          </w:p>
        </w:tc>
      </w:tr>
      <w:tr w:rsidR="00065EFA" w:rsidTr="000D2BC3">
        <w:tc>
          <w:tcPr>
            <w:tcW w:w="2122" w:type="dxa"/>
          </w:tcPr>
          <w:p w:rsidR="00065EFA" w:rsidRDefault="00A73CA4">
            <w:pPr>
              <w:jc w:val="both"/>
              <w:rPr>
                <w:b/>
                <w:bCs/>
                <w:highlight w:val="yellow"/>
              </w:rPr>
            </w:pPr>
            <w:r>
              <w:rPr>
                <w:b/>
                <w:bCs/>
              </w:rPr>
              <w:t>Per il test MLH1</w:t>
            </w:r>
          </w:p>
        </w:tc>
        <w:tc>
          <w:tcPr>
            <w:tcW w:w="3118" w:type="dxa"/>
          </w:tcPr>
          <w:p w:rsidR="00065EFA" w:rsidRDefault="00A73CA4">
            <w:pPr>
              <w:jc w:val="both"/>
            </w:pPr>
            <w:r>
              <w:t xml:space="preserve">Kit con rilevamento qualitativo mediante real-time </w:t>
            </w:r>
            <w:proofErr w:type="spellStart"/>
            <w:r>
              <w:t>pcr</w:t>
            </w:r>
            <w:proofErr w:type="spellEnd"/>
            <w:r>
              <w:t xml:space="preserve"> e successiva analisi di </w:t>
            </w:r>
            <w:proofErr w:type="spellStart"/>
            <w:r>
              <w:t>melt</w:t>
            </w:r>
            <w:proofErr w:type="spellEnd"/>
            <w:r>
              <w:t xml:space="preserve"> dello stato di metilazione di siti </w:t>
            </w:r>
            <w:proofErr w:type="spellStart"/>
            <w:r>
              <w:t>CpG</w:t>
            </w:r>
            <w:proofErr w:type="spellEnd"/>
            <w:r>
              <w:t xml:space="preserve"> del gene MLH1, che contenga tutti i reagenti necessari alla conversione con bisolfito.</w:t>
            </w:r>
          </w:p>
        </w:tc>
        <w:tc>
          <w:tcPr>
            <w:tcW w:w="1276" w:type="dxa"/>
          </w:tcPr>
          <w:p w:rsidR="00065EFA" w:rsidRDefault="00A73CA4">
            <w:pPr>
              <w:jc w:val="both"/>
            </w:pPr>
            <w:r>
              <w:t>SI/NO</w:t>
            </w:r>
          </w:p>
        </w:tc>
        <w:tc>
          <w:tcPr>
            <w:tcW w:w="2126" w:type="dxa"/>
          </w:tcPr>
          <w:p w:rsidR="00065EFA" w:rsidRDefault="00065EFA">
            <w:pPr>
              <w:jc w:val="both"/>
            </w:pPr>
          </w:p>
        </w:tc>
        <w:tc>
          <w:tcPr>
            <w:tcW w:w="1134" w:type="dxa"/>
          </w:tcPr>
          <w:p w:rsidR="00065EFA" w:rsidRDefault="00A73CA4">
            <w:pPr>
              <w:jc w:val="center"/>
              <w:rPr>
                <w:b/>
                <w:bCs/>
              </w:rPr>
            </w:pPr>
            <w:r>
              <w:rPr>
                <w:b/>
                <w:bCs/>
              </w:rPr>
              <w:t>6</w:t>
            </w:r>
          </w:p>
        </w:tc>
      </w:tr>
      <w:tr w:rsidR="00065EFA" w:rsidTr="000D2BC3">
        <w:tc>
          <w:tcPr>
            <w:tcW w:w="2122" w:type="dxa"/>
          </w:tcPr>
          <w:p w:rsidR="00065EFA" w:rsidRDefault="00A73CA4">
            <w:pPr>
              <w:jc w:val="both"/>
              <w:rPr>
                <w:b/>
                <w:bCs/>
              </w:rPr>
            </w:pPr>
            <w:r>
              <w:rPr>
                <w:b/>
                <w:bCs/>
              </w:rPr>
              <w:t>Per il test IDH1-2</w:t>
            </w:r>
          </w:p>
        </w:tc>
        <w:tc>
          <w:tcPr>
            <w:tcW w:w="3118" w:type="dxa"/>
          </w:tcPr>
          <w:p w:rsidR="00065EFA" w:rsidRDefault="00E326C1">
            <w:pPr>
              <w:jc w:val="both"/>
            </w:pPr>
            <w:r>
              <w:t>Presenza di ulteriori codoni rispetto ai codoni 132 e 172</w:t>
            </w:r>
          </w:p>
        </w:tc>
        <w:tc>
          <w:tcPr>
            <w:tcW w:w="1276" w:type="dxa"/>
          </w:tcPr>
          <w:p w:rsidR="00065EFA" w:rsidRDefault="000D2BC3">
            <w:pPr>
              <w:jc w:val="both"/>
            </w:pPr>
            <w:r>
              <w:t>SI/NO</w:t>
            </w:r>
          </w:p>
        </w:tc>
        <w:tc>
          <w:tcPr>
            <w:tcW w:w="2126" w:type="dxa"/>
          </w:tcPr>
          <w:p w:rsidR="00065EFA" w:rsidRPr="00A73CA4" w:rsidRDefault="00065EFA" w:rsidP="000D2BC3">
            <w:pPr>
              <w:pBdr>
                <w:top w:val="nil"/>
                <w:left w:val="nil"/>
                <w:bottom w:val="nil"/>
                <w:right w:val="nil"/>
                <w:between w:val="nil"/>
              </w:pBdr>
              <w:ind w:left="320"/>
              <w:jc w:val="both"/>
              <w:rPr>
                <w:rFonts w:ascii="Times" w:eastAsia="Times" w:hAnsi="Times" w:cs="Times"/>
                <w:sz w:val="24"/>
                <w:szCs w:val="24"/>
              </w:rPr>
            </w:pPr>
          </w:p>
        </w:tc>
        <w:tc>
          <w:tcPr>
            <w:tcW w:w="1134" w:type="dxa"/>
          </w:tcPr>
          <w:p w:rsidR="00065EFA" w:rsidRPr="00A73CA4" w:rsidRDefault="00A73CA4">
            <w:pPr>
              <w:jc w:val="center"/>
              <w:rPr>
                <w:b/>
                <w:bCs/>
              </w:rPr>
            </w:pPr>
            <w:r w:rsidRPr="00A73CA4">
              <w:rPr>
                <w:b/>
                <w:bCs/>
              </w:rPr>
              <w:t>6</w:t>
            </w:r>
          </w:p>
        </w:tc>
      </w:tr>
      <w:tr w:rsidR="00065EFA" w:rsidTr="000D2BC3">
        <w:tc>
          <w:tcPr>
            <w:tcW w:w="2122" w:type="dxa"/>
          </w:tcPr>
          <w:p w:rsidR="00065EFA" w:rsidRDefault="00065EFA">
            <w:pPr>
              <w:jc w:val="both"/>
            </w:pPr>
          </w:p>
        </w:tc>
        <w:tc>
          <w:tcPr>
            <w:tcW w:w="3118" w:type="dxa"/>
          </w:tcPr>
          <w:p w:rsidR="00065EFA" w:rsidRDefault="00A73CA4">
            <w:pPr>
              <w:jc w:val="both"/>
            </w:pPr>
            <w:r>
              <w:t>Totale</w:t>
            </w:r>
          </w:p>
        </w:tc>
        <w:tc>
          <w:tcPr>
            <w:tcW w:w="1276" w:type="dxa"/>
          </w:tcPr>
          <w:p w:rsidR="00065EFA" w:rsidRDefault="00065EFA">
            <w:pPr>
              <w:jc w:val="both"/>
            </w:pPr>
          </w:p>
        </w:tc>
        <w:tc>
          <w:tcPr>
            <w:tcW w:w="2126" w:type="dxa"/>
          </w:tcPr>
          <w:p w:rsidR="00065EFA" w:rsidRDefault="00065EFA">
            <w:pPr>
              <w:jc w:val="both"/>
            </w:pPr>
          </w:p>
        </w:tc>
        <w:tc>
          <w:tcPr>
            <w:tcW w:w="1134" w:type="dxa"/>
          </w:tcPr>
          <w:p w:rsidR="00065EFA" w:rsidRDefault="00A73CA4">
            <w:pPr>
              <w:jc w:val="center"/>
              <w:rPr>
                <w:b/>
                <w:bCs/>
              </w:rPr>
            </w:pPr>
            <w:r>
              <w:rPr>
                <w:b/>
                <w:bCs/>
              </w:rPr>
              <w:t>70</w:t>
            </w:r>
          </w:p>
        </w:tc>
      </w:tr>
    </w:tbl>
    <w:p w:rsidR="00065EFA" w:rsidRDefault="00A73CA4">
      <w:pPr>
        <w:pBdr>
          <w:top w:val="nil"/>
          <w:left w:val="nil"/>
          <w:bottom w:val="nil"/>
          <w:right w:val="nil"/>
          <w:between w:val="nil"/>
        </w:pBdr>
        <w:rPr>
          <w:color w:val="000000"/>
          <w:sz w:val="22"/>
          <w:szCs w:val="22"/>
        </w:rPr>
      </w:pPr>
      <w:r>
        <w:rPr>
          <w:b/>
          <w:bCs/>
          <w:color w:val="000000"/>
          <w:sz w:val="22"/>
          <w:szCs w:val="22"/>
        </w:rPr>
        <w:lastRenderedPageBreak/>
        <w:t xml:space="preserve">Metodo di attribuzione del coefficiente per il calcolo del punteggio dell’offerta tecnica </w:t>
      </w:r>
    </w:p>
    <w:p w:rsidR="00065EFA" w:rsidRDefault="00065EFA">
      <w:pPr>
        <w:pBdr>
          <w:top w:val="nil"/>
          <w:left w:val="nil"/>
          <w:bottom w:val="nil"/>
          <w:right w:val="nil"/>
          <w:between w:val="nil"/>
        </w:pBdr>
        <w:rPr>
          <w:color w:val="000000"/>
          <w:sz w:val="22"/>
          <w:szCs w:val="22"/>
        </w:rPr>
      </w:pPr>
    </w:p>
    <w:p w:rsidR="00065EFA" w:rsidRPr="000D2BC3" w:rsidRDefault="00A73CA4">
      <w:pPr>
        <w:rPr>
          <w:b/>
          <w:bCs/>
          <w:color w:val="000000"/>
          <w:sz w:val="22"/>
          <w:szCs w:val="22"/>
          <w:u w:val="single"/>
        </w:rPr>
      </w:pPr>
      <w:r w:rsidRPr="000D2BC3">
        <w:rPr>
          <w:b/>
          <w:bCs/>
          <w:color w:val="000000"/>
          <w:sz w:val="22"/>
          <w:szCs w:val="22"/>
          <w:u w:val="single"/>
        </w:rPr>
        <w:t>Criterio tabellare:</w:t>
      </w:r>
    </w:p>
    <w:p w:rsidR="00065EFA" w:rsidRPr="000D2BC3" w:rsidRDefault="00065EFA">
      <w:pPr>
        <w:rPr>
          <w:rFonts w:ascii="Garamond" w:eastAsia="Garamond" w:hAnsi="Garamond" w:cs="Garamond"/>
          <w:b/>
          <w:bCs/>
          <w:color w:val="000000"/>
          <w:sz w:val="22"/>
          <w:szCs w:val="22"/>
          <w:u w:val="single"/>
        </w:rPr>
      </w:pPr>
    </w:p>
    <w:p w:rsidR="00065EFA" w:rsidRPr="000D2BC3" w:rsidRDefault="00A73CA4">
      <w:pPr>
        <w:jc w:val="both"/>
        <w:rPr>
          <w:color w:val="000000"/>
          <w:sz w:val="22"/>
          <w:szCs w:val="22"/>
        </w:rPr>
      </w:pPr>
      <w:r w:rsidRPr="000D2BC3">
        <w:rPr>
          <w:color w:val="000000"/>
          <w:sz w:val="22"/>
          <w:szCs w:val="22"/>
        </w:rPr>
        <w:t>Quanto agli elementi cui è assegnato un punteggio tabellare, il relativo punteggio è assegnato, automaticamente e in valore assoluto, sulla base della presenza o assenza nell’offerta, dell’elemento richiesto.</w:t>
      </w:r>
    </w:p>
    <w:p w:rsidR="00065EFA" w:rsidRPr="000D2BC3" w:rsidRDefault="00065EFA">
      <w:pPr>
        <w:jc w:val="both"/>
        <w:rPr>
          <w:color w:val="000000"/>
          <w:sz w:val="22"/>
          <w:szCs w:val="22"/>
        </w:rPr>
      </w:pPr>
    </w:p>
    <w:p w:rsidR="00065EFA" w:rsidRPr="000D2BC3" w:rsidRDefault="00A73CA4">
      <w:pPr>
        <w:jc w:val="both"/>
        <w:rPr>
          <w:b/>
          <w:bCs/>
          <w:color w:val="000000"/>
          <w:sz w:val="22"/>
          <w:szCs w:val="22"/>
          <w:u w:val="single"/>
        </w:rPr>
      </w:pPr>
      <w:r w:rsidRPr="000D2BC3">
        <w:rPr>
          <w:b/>
          <w:bCs/>
          <w:color w:val="000000"/>
          <w:sz w:val="22"/>
          <w:szCs w:val="22"/>
          <w:u w:val="single"/>
        </w:rPr>
        <w:t>Criterio Quantitativo:</w:t>
      </w:r>
    </w:p>
    <w:p w:rsidR="00065EFA" w:rsidRPr="000D2BC3" w:rsidRDefault="00065EFA">
      <w:pPr>
        <w:jc w:val="both"/>
        <w:rPr>
          <w:color w:val="000000"/>
          <w:sz w:val="22"/>
          <w:szCs w:val="22"/>
        </w:rPr>
      </w:pPr>
    </w:p>
    <w:p w:rsidR="00065EFA" w:rsidRPr="000D2BC3" w:rsidRDefault="00A73CA4">
      <w:pPr>
        <w:jc w:val="both"/>
        <w:rPr>
          <w:color w:val="000000"/>
          <w:sz w:val="22"/>
          <w:szCs w:val="22"/>
        </w:rPr>
      </w:pPr>
      <w:r w:rsidRPr="000D2BC3">
        <w:rPr>
          <w:color w:val="000000"/>
          <w:sz w:val="22"/>
          <w:szCs w:val="22"/>
        </w:rPr>
        <w:t>Per i criteri di tipo quantitativo sarà attribuita preferenza massima di punteggio all’operatore economico con il valore minimo per il criterio 2 e massimo per il criterio 3 di entrambi i lotti; agli altri operatori economici verrà assegnato un punteggio proporzionale in base alla seguente formula:</w:t>
      </w:r>
    </w:p>
    <w:p w:rsidR="00065EFA" w:rsidRPr="000D2BC3" w:rsidRDefault="00A73CA4">
      <w:pPr>
        <w:jc w:val="both"/>
        <w:rPr>
          <w:color w:val="000000"/>
          <w:sz w:val="22"/>
          <w:szCs w:val="22"/>
        </w:rPr>
      </w:pPr>
      <w:r w:rsidRPr="000D2BC3">
        <w:rPr>
          <w:color w:val="000000"/>
          <w:sz w:val="22"/>
          <w:szCs w:val="22"/>
        </w:rPr>
        <w:t>(Valore del parametro in oggetto proposto dal concorrente i-esimo * P Max assegnabile) / (Valore Max del parametro in oggetto offerto tra i concorrenti)</w:t>
      </w:r>
    </w:p>
    <w:p w:rsidR="00065EFA" w:rsidRPr="000D2BC3" w:rsidRDefault="00065EFA">
      <w:pPr>
        <w:pBdr>
          <w:top w:val="nil"/>
          <w:left w:val="nil"/>
          <w:bottom w:val="nil"/>
          <w:right w:val="nil"/>
          <w:between w:val="nil"/>
        </w:pBdr>
        <w:rPr>
          <w:rFonts w:ascii="Garamond" w:eastAsia="Garamond" w:hAnsi="Garamond" w:cs="Garamond"/>
          <w:color w:val="000000"/>
          <w:sz w:val="22"/>
          <w:szCs w:val="22"/>
          <w:u w:val="single"/>
        </w:rPr>
      </w:pPr>
    </w:p>
    <w:p w:rsidR="00065EFA" w:rsidRDefault="00065EFA">
      <w:pPr>
        <w:pBdr>
          <w:top w:val="nil"/>
          <w:left w:val="nil"/>
          <w:bottom w:val="nil"/>
          <w:right w:val="nil"/>
          <w:between w:val="nil"/>
        </w:pBdr>
        <w:rPr>
          <w:rFonts w:ascii="Garamond" w:eastAsia="Garamond" w:hAnsi="Garamond" w:cs="Garamond"/>
          <w:color w:val="000000"/>
          <w:sz w:val="23"/>
          <w:szCs w:val="23"/>
        </w:rPr>
      </w:pPr>
    </w:p>
    <w:p w:rsidR="00065EFA" w:rsidRDefault="00A73CA4">
      <w:pPr>
        <w:pBdr>
          <w:top w:val="nil"/>
          <w:left w:val="nil"/>
          <w:bottom w:val="nil"/>
          <w:right w:val="nil"/>
          <w:between w:val="nil"/>
        </w:pBdr>
        <w:jc w:val="both"/>
        <w:rPr>
          <w:color w:val="000000"/>
          <w:sz w:val="22"/>
          <w:szCs w:val="22"/>
        </w:rPr>
      </w:pPr>
      <w:r>
        <w:rPr>
          <w:color w:val="000000"/>
          <w:sz w:val="22"/>
          <w:szCs w:val="22"/>
        </w:rPr>
        <w:t>Il punteggio complessivo dell’offerta tecnica è dato dalla somma tra il punteggio totale per i criteri quantitativi e il punteggio per i criteri a cui è assegnato un punteggio tabellare.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Come già precedentemente evidenziato per quanto riguarda la documentazione tecnica da fornire, si evidenzia che, non essendo possibile permetterne l’integrazione al fine di rispettare i principi di legalità, buon andamento, imparzialità, "par condicio" e trasparenza, basilari in materia di gare d’appalto, una eventuale incompletezza o carenza di documentazione o insufficiente chiarezza espositiva, che non permettano alla Commissione giudicatrice una opportuna e precisa valutazione dell’offerta, comporteranno inevitabilmente un giudizio negativo.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Ai sensi dell’art. 108, comma 8, del Codice, al fine di rispettare gli standard funzionali e qualitativi minimali attesi dall'amministrazione appaltante è prevista una soglia minima di sbarramento </w:t>
      </w:r>
      <w:r>
        <w:rPr>
          <w:b/>
          <w:bCs/>
          <w:color w:val="000000"/>
          <w:sz w:val="22"/>
          <w:szCs w:val="22"/>
        </w:rPr>
        <w:t>pari a 42/70</w:t>
      </w:r>
      <w:r>
        <w:rPr>
          <w:color w:val="000000"/>
          <w:sz w:val="22"/>
          <w:szCs w:val="22"/>
        </w:rPr>
        <w:t xml:space="preserve">. Il concorrente sarà escluso dalla gara nel caso in cui consegua un punteggio inferiore alla predetta soglia. Il superamento della soglia di sbarramento è calcolato prima della riparametrazione.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Stazione Appaltante si riserva di non aggiudicare la gara nell’ipotesi in cui, all’esito della valutazione tecnica, permanga una sola offerta.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Per tutte le offerte che avranno superato la soglia minima di sbarramento al fine di non alterare i pesi stabiliti tra l’elemento qualità e l’elemento prezzo, se nel punteggio tecnico complessivo nessun concorrente ottiene il punteggio massimo, tale punteggio viene </w:t>
      </w:r>
      <w:r>
        <w:rPr>
          <w:b/>
          <w:bCs/>
          <w:color w:val="000000"/>
          <w:sz w:val="22"/>
          <w:szCs w:val="22"/>
        </w:rPr>
        <w:t>riparametrato</w:t>
      </w:r>
      <w:r>
        <w:rPr>
          <w:color w:val="000000"/>
          <w:sz w:val="22"/>
          <w:szCs w:val="22"/>
        </w:rPr>
        <w:t xml:space="preserve">: la stazione appaltante procederà ad assegnare al concorrente che ha ottenuto il punteggio più alto il massimo punteggio previsto e alle altre offerte un punteggio proporzionale decrescente.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Metodo di attribuzione del coefficiente per il calcolo del punteggio dell’offerta economica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Quanto all’offerta economica, è attribuito all’elemento economico un punteggio calcolato tramite la seguente formula al prezzo minimo: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ind w:left="426"/>
        <w:rPr>
          <w:color w:val="000000"/>
          <w:sz w:val="22"/>
          <w:szCs w:val="22"/>
        </w:rPr>
      </w:pPr>
      <w:r>
        <w:rPr>
          <w:color w:val="000000"/>
          <w:sz w:val="22"/>
          <w:szCs w:val="22"/>
        </w:rPr>
        <w:t xml:space="preserve">PE = 30 x </w:t>
      </w:r>
      <w:proofErr w:type="spellStart"/>
      <w:r>
        <w:rPr>
          <w:color w:val="000000"/>
          <w:sz w:val="22"/>
          <w:szCs w:val="22"/>
        </w:rPr>
        <w:t>Pmin</w:t>
      </w:r>
      <w:proofErr w:type="spellEnd"/>
      <w:r>
        <w:rPr>
          <w:color w:val="000000"/>
          <w:sz w:val="22"/>
          <w:szCs w:val="22"/>
        </w:rPr>
        <w:t>/</w:t>
      </w:r>
      <w:proofErr w:type="spellStart"/>
      <w:r>
        <w:rPr>
          <w:color w:val="000000"/>
          <w:sz w:val="22"/>
          <w:szCs w:val="22"/>
        </w:rPr>
        <w:t>Pi</w:t>
      </w:r>
      <w:proofErr w:type="spellEnd"/>
      <w:r>
        <w:rPr>
          <w:color w:val="000000"/>
          <w:sz w:val="22"/>
          <w:szCs w:val="22"/>
        </w:rPr>
        <w:t xml:space="preserve"> </w:t>
      </w:r>
    </w:p>
    <w:p w:rsidR="00065EFA" w:rsidRDefault="00065EFA">
      <w:pPr>
        <w:pBdr>
          <w:top w:val="nil"/>
          <w:left w:val="nil"/>
          <w:bottom w:val="nil"/>
          <w:right w:val="nil"/>
          <w:between w:val="nil"/>
        </w:pBdr>
        <w:ind w:left="426"/>
        <w:rPr>
          <w:color w:val="000000"/>
          <w:sz w:val="22"/>
          <w:szCs w:val="22"/>
        </w:rPr>
      </w:pPr>
    </w:p>
    <w:p w:rsidR="00065EFA" w:rsidRDefault="00A73CA4">
      <w:pPr>
        <w:pBdr>
          <w:top w:val="nil"/>
          <w:left w:val="nil"/>
          <w:bottom w:val="nil"/>
          <w:right w:val="nil"/>
          <w:between w:val="nil"/>
        </w:pBdr>
        <w:ind w:left="426"/>
        <w:rPr>
          <w:color w:val="000000"/>
          <w:sz w:val="22"/>
          <w:szCs w:val="22"/>
        </w:rPr>
      </w:pPr>
      <w:r>
        <w:rPr>
          <w:color w:val="000000"/>
          <w:sz w:val="22"/>
          <w:szCs w:val="22"/>
        </w:rPr>
        <w:t xml:space="preserve">dove: </w:t>
      </w:r>
    </w:p>
    <w:p w:rsidR="00065EFA" w:rsidRDefault="00065EFA">
      <w:pPr>
        <w:pBdr>
          <w:top w:val="nil"/>
          <w:left w:val="nil"/>
          <w:bottom w:val="nil"/>
          <w:right w:val="nil"/>
          <w:between w:val="nil"/>
        </w:pBdr>
        <w:ind w:left="426"/>
        <w:rPr>
          <w:color w:val="000000"/>
          <w:sz w:val="22"/>
          <w:szCs w:val="22"/>
        </w:rPr>
      </w:pPr>
    </w:p>
    <w:p w:rsidR="00065EFA" w:rsidRDefault="00A73CA4">
      <w:pPr>
        <w:pBdr>
          <w:top w:val="nil"/>
          <w:left w:val="nil"/>
          <w:bottom w:val="nil"/>
          <w:right w:val="nil"/>
          <w:between w:val="nil"/>
        </w:pBdr>
        <w:ind w:left="426"/>
        <w:rPr>
          <w:color w:val="000000"/>
          <w:sz w:val="22"/>
          <w:szCs w:val="22"/>
        </w:rPr>
      </w:pPr>
      <w:r>
        <w:rPr>
          <w:color w:val="000000"/>
          <w:sz w:val="22"/>
          <w:szCs w:val="22"/>
        </w:rPr>
        <w:t>PE = punteggio attribuito all’elemento economico del concorrente -</w:t>
      </w:r>
      <w:proofErr w:type="spellStart"/>
      <w:r>
        <w:rPr>
          <w:color w:val="000000"/>
          <w:sz w:val="22"/>
          <w:szCs w:val="22"/>
        </w:rPr>
        <w:t>iesimo</w:t>
      </w:r>
      <w:proofErr w:type="spellEnd"/>
      <w:r>
        <w:rPr>
          <w:color w:val="000000"/>
          <w:sz w:val="22"/>
          <w:szCs w:val="22"/>
        </w:rPr>
        <w:t xml:space="preserve"> </w:t>
      </w:r>
    </w:p>
    <w:p w:rsidR="00065EFA" w:rsidRDefault="00A73CA4">
      <w:pPr>
        <w:pBdr>
          <w:top w:val="nil"/>
          <w:left w:val="nil"/>
          <w:bottom w:val="nil"/>
          <w:right w:val="nil"/>
          <w:between w:val="nil"/>
        </w:pBdr>
        <w:ind w:left="426"/>
        <w:rPr>
          <w:color w:val="000000"/>
          <w:sz w:val="22"/>
          <w:szCs w:val="22"/>
        </w:rPr>
      </w:pPr>
      <w:proofErr w:type="spellStart"/>
      <w:r>
        <w:rPr>
          <w:color w:val="000000"/>
          <w:sz w:val="22"/>
          <w:szCs w:val="22"/>
        </w:rPr>
        <w:t>Pmin</w:t>
      </w:r>
      <w:proofErr w:type="spellEnd"/>
      <w:r>
        <w:rPr>
          <w:color w:val="000000"/>
          <w:sz w:val="22"/>
          <w:szCs w:val="22"/>
        </w:rPr>
        <w:t xml:space="preserve"> = prezzo più basso offerto; </w:t>
      </w:r>
    </w:p>
    <w:p w:rsidR="00065EFA" w:rsidRDefault="00A73CA4">
      <w:pPr>
        <w:pBdr>
          <w:top w:val="nil"/>
          <w:left w:val="nil"/>
          <w:bottom w:val="nil"/>
          <w:right w:val="nil"/>
          <w:between w:val="nil"/>
        </w:pBdr>
        <w:ind w:left="426"/>
        <w:rPr>
          <w:color w:val="000000"/>
          <w:sz w:val="22"/>
          <w:szCs w:val="22"/>
        </w:rPr>
      </w:pPr>
      <w:proofErr w:type="spellStart"/>
      <w:r>
        <w:rPr>
          <w:color w:val="000000"/>
          <w:sz w:val="22"/>
          <w:szCs w:val="22"/>
        </w:rPr>
        <w:t>Pi</w:t>
      </w:r>
      <w:proofErr w:type="spellEnd"/>
      <w:r>
        <w:rPr>
          <w:color w:val="000000"/>
          <w:sz w:val="22"/>
          <w:szCs w:val="22"/>
        </w:rPr>
        <w:t xml:space="preserve"> = prezzo offerto dal concorrente i-esimo.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lastRenderedPageBreak/>
        <w:t xml:space="preserve">Metodo per il calcolo dei punteggi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L'aggiudicazione avverrà in ottemperanza al metodo aggregativo compensatore a favore dell’offerta che avrà ottenuto il punteggio complessivo maggiore dato dalla somma tra il punteggio assegnato alla qualità e il punteggio assegnato all’elemento economico.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L’aggiudicazione definitiva diventerà efficace all’esito positivo dei controlli sul possesso dei requisiti di carattere generale, tecnico – organizzativo ed economico – finanziario dall’affidatario, effettuati nei termini e secondo le modalità previste dall’art. 17 comma 5 del d.lgs. 36/2023 e dell’art. 7 del presente disciplinare.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Qualora le verifiche circa il possesso dei requisiti di capacità generale e l’insussistenza di cause di esclusione non confermino le dichiarazioni contenute nell’istanza di ammissione, si procederà all’annullamento della aggiudicazione definitiva qualora già effettuata.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L’Azienda si riserva, a proprio insindacabile giudizio, la facoltà di non procedere all’aggiudicazione, nel caso in cui non ritenga meritevole di approvazione e/o conveniente sotto il profilo tecnico-economico e/o organizzativo l’offerta presentata, ai sensi dell’art. 107 comma 2 d.lgs. 36/2023 e dell’art. 108 comma 10 del d.lgs. 36/2023.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L’Azienda si riserva, altresì il diritto di annullare la procedura in qualsiasi momento, senza che l’offerente possa avanzare pretese di qualsiasi genere e natura, fatta salva, se richiesta, la motivazione.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provvedimento di aggiudicazione verrà comunicato al concorrente all’interno dell’area “Comunicazioni procedura” e tale comunicazione avrà valenza legale ai sensi dell’art. 90 del d.lgs.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Le comunicazioni tramite l’area “Comunicazioni procedura” sono valide agli effetti delle relative norme previste dal D.L.gs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RUP, concluse le operazioni di cui sopra, si pronuncia secondo quanto stabilito dall’art. 17 comma 5 del d.lgs. 36/2023.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proposta di aggiudicazione è soggetta all’approvazione nei termini previsti dall’art. 17 comma 5 del d.lgs. 36/2023.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L’aggiudicazione sarà comunicata attraverso la funzionalità “Comunicazioni procedura” di </w:t>
      </w:r>
      <w:proofErr w:type="spellStart"/>
      <w:r>
        <w:rPr>
          <w:color w:val="000000"/>
          <w:sz w:val="22"/>
          <w:szCs w:val="22"/>
        </w:rPr>
        <w:t>Sintel</w:t>
      </w:r>
      <w:proofErr w:type="spellEnd"/>
      <w:r>
        <w:rPr>
          <w:color w:val="000000"/>
          <w:sz w:val="22"/>
          <w:szCs w:val="22"/>
        </w:rPr>
        <w:t xml:space="preserve">, la stessa arriverà agli operatori economici concorrenti all’indirizzo PEC inserito all’atto della registrazione a </w:t>
      </w:r>
      <w:proofErr w:type="spellStart"/>
      <w:r>
        <w:rPr>
          <w:color w:val="000000"/>
          <w:sz w:val="22"/>
          <w:szCs w:val="22"/>
        </w:rPr>
        <w:t>Sintel</w:t>
      </w:r>
      <w:proofErr w:type="spellEnd"/>
      <w:r>
        <w:rPr>
          <w:color w:val="000000"/>
          <w:sz w:val="22"/>
          <w:szCs w:val="22"/>
        </w:rPr>
        <w:t xml:space="preserve">, secondo quanto previsto dall’art. 90 del d.lgs. 36/2023 ed acquisirà efficacia dopo la positiva conclusione della verifica della sussistenza dei requisiti dichiarati all’atto della presentazione dell’offerta.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L’aggiudicazione avverrà a favore della Ditta che, dalla somma dei punteggi ottenuti per la qualità ed il prezzo, avrà ottenuto complessivamente il punteggio più elevato.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 xml:space="preserve">Art. 9 - SVOLGIMENTO DELLA PROCEDURA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Allo scadere del termine fissato per la presentazione delle offerte, le stesse sono acquisite definitivamente dal Sistema e, oltre ad essere non più modificabili o sostituibili, sono conservate dal Sistema medesimo in modo segreto, riservato e sicuro. </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proofErr w:type="spellStart"/>
      <w:r>
        <w:rPr>
          <w:color w:val="000000"/>
          <w:sz w:val="22"/>
          <w:szCs w:val="22"/>
        </w:rPr>
        <w:t>Sintel</w:t>
      </w:r>
      <w:proofErr w:type="spellEnd"/>
      <w:r>
        <w:rPr>
          <w:color w:val="000000"/>
          <w:sz w:val="22"/>
          <w:szCs w:val="22"/>
        </w:rPr>
        <w:t xml:space="preserve">, al momento della ricezione dell’offerta, ottempera alla prescrizione di inviando al concorrente una PEC di notifica del corretto recepimento dell’offerta presentata.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considerazione del fatto che la Piattaforma </w:t>
      </w:r>
      <w:proofErr w:type="spellStart"/>
      <w:r>
        <w:rPr>
          <w:color w:val="000000"/>
          <w:sz w:val="22"/>
          <w:szCs w:val="22"/>
        </w:rPr>
        <w:t>Sintel</w:t>
      </w:r>
      <w:proofErr w:type="spellEnd"/>
      <w:r>
        <w:rPr>
          <w:color w:val="000000"/>
          <w:sz w:val="22"/>
          <w:szCs w:val="22"/>
        </w:rPr>
        <w:t xml:space="preserve"> garantisce la massima segretezza e riservatezza dell’offerta e dei documenti che la compongono e, altresì, la provenienza, l’identificazione e l’inalterabilità dell’offerta medesima, l’apertura delle “buste telematiche” contenenti la documentazione amministrativa, tecnica ed economica avverrà in sedute riservate.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In seduta riservata il RUP o un suo delegato </w:t>
      </w:r>
      <w:proofErr w:type="gramStart"/>
      <w:r>
        <w:rPr>
          <w:color w:val="000000"/>
          <w:sz w:val="22"/>
          <w:szCs w:val="22"/>
        </w:rPr>
        <w:t>procederà</w:t>
      </w:r>
      <w:proofErr w:type="gramEnd"/>
      <w:r>
        <w:rPr>
          <w:color w:val="000000"/>
          <w:sz w:val="22"/>
          <w:szCs w:val="22"/>
        </w:rPr>
        <w:t xml:space="preserve">: </w:t>
      </w:r>
    </w:p>
    <w:p w:rsidR="00065EFA" w:rsidRDefault="00A73CA4">
      <w:pPr>
        <w:numPr>
          <w:ilvl w:val="6"/>
          <w:numId w:val="10"/>
        </w:numPr>
        <w:pBdr>
          <w:top w:val="nil"/>
          <w:left w:val="nil"/>
          <w:bottom w:val="nil"/>
          <w:right w:val="nil"/>
          <w:between w:val="nil"/>
        </w:pBdr>
        <w:ind w:left="426"/>
        <w:jc w:val="both"/>
        <w:rPr>
          <w:color w:val="000000"/>
          <w:sz w:val="22"/>
          <w:szCs w:val="22"/>
        </w:rPr>
      </w:pPr>
      <w:r>
        <w:rPr>
          <w:color w:val="000000"/>
          <w:sz w:val="22"/>
          <w:szCs w:val="22"/>
        </w:rPr>
        <w:lastRenderedPageBreak/>
        <w:t xml:space="preserve">alla verifica della ricezione delle offerte tempestivamente presentate; </w:t>
      </w:r>
    </w:p>
    <w:p w:rsidR="00065EFA" w:rsidRDefault="00A73CA4">
      <w:pPr>
        <w:numPr>
          <w:ilvl w:val="6"/>
          <w:numId w:val="10"/>
        </w:numPr>
        <w:pBdr>
          <w:top w:val="nil"/>
          <w:left w:val="nil"/>
          <w:bottom w:val="nil"/>
          <w:right w:val="nil"/>
          <w:between w:val="nil"/>
        </w:pBdr>
        <w:ind w:left="426"/>
        <w:jc w:val="both"/>
        <w:rPr>
          <w:color w:val="000000"/>
          <w:sz w:val="22"/>
          <w:szCs w:val="22"/>
        </w:rPr>
      </w:pPr>
      <w:r>
        <w:rPr>
          <w:color w:val="000000"/>
          <w:sz w:val="22"/>
          <w:szCs w:val="22"/>
        </w:rPr>
        <w:t xml:space="preserve">all’apertura della “busta telematica” contenente la Documentazione amministrativa; </w:t>
      </w:r>
    </w:p>
    <w:p w:rsidR="00065EFA" w:rsidRDefault="00A73CA4">
      <w:pPr>
        <w:numPr>
          <w:ilvl w:val="6"/>
          <w:numId w:val="10"/>
        </w:numPr>
        <w:pBdr>
          <w:top w:val="nil"/>
          <w:left w:val="nil"/>
          <w:bottom w:val="nil"/>
          <w:right w:val="nil"/>
          <w:between w:val="nil"/>
        </w:pBdr>
        <w:ind w:left="284" w:hanging="218"/>
        <w:jc w:val="both"/>
        <w:rPr>
          <w:color w:val="000000"/>
          <w:sz w:val="22"/>
          <w:szCs w:val="22"/>
        </w:rPr>
      </w:pPr>
      <w:r>
        <w:rPr>
          <w:color w:val="000000"/>
          <w:sz w:val="22"/>
          <w:szCs w:val="22"/>
        </w:rPr>
        <w:t xml:space="preserve">ad ammettere al prosieguo della gara i concorrenti che abbiano prodotto la completa e regolare documentazione prevista dal presente Disciplinare di gara, fermi restando i casi di ammissione con riserva dei concorrenti rispetto ai quali si renda necessaria un’ulteriore attività di verifica della documentazione amministrativa presentata, anche mediante richiesta di chiarimenti o elementi integrativi, per il tramite del c.d. soccorso istruttorio ai sensi dell’art. 101 del d.lgs. 36/2023, formalizzando l’esito di tale verifica attraverso apposita comunicazione che verrà inviata via PEC a tutte le Ditte concorrenti. </w:t>
      </w:r>
    </w:p>
    <w:p w:rsidR="00065EFA" w:rsidRDefault="00065EFA">
      <w:pPr>
        <w:pBdr>
          <w:top w:val="nil"/>
          <w:left w:val="nil"/>
          <w:bottom w:val="nil"/>
          <w:right w:val="nil"/>
          <w:between w:val="nil"/>
        </w:pBdr>
        <w:ind w:left="284"/>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Delle operazioni suddette, verrà redatto apposito Verbale che verrà inviato ai concorrenti tramite l’area “Comunicazioni procedura”. La comunicazione tramite l’area “Comunicazioni procedura” è valida agli effetti di cui all’art. 90 del d.lgs. 23/2023. Il Verbale stesso sarà pubblicato anche sul profilo del committente. </w:t>
      </w:r>
    </w:p>
    <w:p w:rsidR="00065EFA" w:rsidRDefault="00A73CA4">
      <w:pPr>
        <w:pBdr>
          <w:top w:val="nil"/>
          <w:left w:val="nil"/>
          <w:bottom w:val="nil"/>
          <w:right w:val="nil"/>
          <w:between w:val="nil"/>
        </w:pBdr>
        <w:jc w:val="both"/>
        <w:rPr>
          <w:color w:val="000000"/>
          <w:sz w:val="22"/>
          <w:szCs w:val="22"/>
        </w:rPr>
      </w:pPr>
      <w:r>
        <w:rPr>
          <w:color w:val="000000"/>
          <w:sz w:val="22"/>
          <w:szCs w:val="22"/>
        </w:rPr>
        <w:t>Successivamente, a seguito della nomina della Commissione giudicatrice, nominata con apposita nota, il RUP o suo delegato, procederà, solamente per le ditte ammesse, all’apertura della “BUSTA telematica 2 – DOCUMENTAZIONE TECNICA”, e al download della documentazione tecnica presentata.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Successivamente la Commissione giudicatrice procederà, in una o più sedute riservate, alla verifica della qualità delle offerte presentate, redigendo i relativi verbali, tenendo conto dei criteri di valutazione di cui all’art.8 del disciplinare.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Per mere ragioni di praticità nella profilazione dei componenti, si precisa che gli stessi accederanno, per lo svolgimento delle loro funzioni, alla piattaforma </w:t>
      </w:r>
      <w:proofErr w:type="spellStart"/>
      <w:r>
        <w:rPr>
          <w:color w:val="000000"/>
          <w:sz w:val="22"/>
          <w:szCs w:val="22"/>
        </w:rPr>
        <w:t>Sintel</w:t>
      </w:r>
      <w:proofErr w:type="spellEnd"/>
      <w:r>
        <w:rPr>
          <w:color w:val="000000"/>
          <w:sz w:val="22"/>
          <w:szCs w:val="22"/>
        </w:rPr>
        <w:t xml:space="preserve"> con le credenziali del RUP o di un suo delegato.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rPr>
          <w:color w:val="000000"/>
          <w:sz w:val="22"/>
          <w:szCs w:val="22"/>
        </w:rPr>
      </w:pPr>
      <w:r>
        <w:rPr>
          <w:color w:val="000000"/>
          <w:sz w:val="22"/>
          <w:szCs w:val="22"/>
        </w:rPr>
        <w:t xml:space="preserve">Successivamente la Commissione giudicatrice procederà: </w:t>
      </w:r>
    </w:p>
    <w:p w:rsidR="00065EFA" w:rsidRDefault="00A73CA4">
      <w:pPr>
        <w:numPr>
          <w:ilvl w:val="1"/>
          <w:numId w:val="27"/>
        </w:numPr>
        <w:pBdr>
          <w:top w:val="nil"/>
          <w:left w:val="nil"/>
          <w:bottom w:val="nil"/>
          <w:right w:val="nil"/>
          <w:between w:val="nil"/>
        </w:pBdr>
        <w:ind w:left="426"/>
        <w:rPr>
          <w:color w:val="000000"/>
          <w:sz w:val="22"/>
          <w:szCs w:val="22"/>
        </w:rPr>
      </w:pPr>
      <w:r>
        <w:rPr>
          <w:color w:val="000000"/>
          <w:sz w:val="22"/>
          <w:szCs w:val="22"/>
        </w:rPr>
        <w:t xml:space="preserve">all’apertura delle “BUSTA 3 – OFFERTA ECONOMICA”; </w:t>
      </w:r>
    </w:p>
    <w:p w:rsidR="00065EFA" w:rsidRDefault="00A73CA4">
      <w:pPr>
        <w:numPr>
          <w:ilvl w:val="1"/>
          <w:numId w:val="27"/>
        </w:numPr>
        <w:pBdr>
          <w:top w:val="nil"/>
          <w:left w:val="nil"/>
          <w:bottom w:val="nil"/>
          <w:right w:val="nil"/>
          <w:between w:val="nil"/>
        </w:pBdr>
        <w:ind w:left="426"/>
        <w:jc w:val="both"/>
        <w:rPr>
          <w:color w:val="000000"/>
          <w:sz w:val="22"/>
          <w:szCs w:val="22"/>
        </w:rPr>
      </w:pPr>
      <w:r>
        <w:rPr>
          <w:color w:val="000000"/>
          <w:sz w:val="22"/>
          <w:szCs w:val="22"/>
        </w:rPr>
        <w:t xml:space="preserve">all’assegnazione dei punteggi relativi al prezzo secondo la previsione di cui all’art. 8 del presente disciplinare; </w:t>
      </w:r>
    </w:p>
    <w:p w:rsidR="00065EFA" w:rsidRDefault="00A73CA4">
      <w:pPr>
        <w:numPr>
          <w:ilvl w:val="1"/>
          <w:numId w:val="27"/>
        </w:numPr>
        <w:pBdr>
          <w:top w:val="nil"/>
          <w:left w:val="nil"/>
          <w:bottom w:val="nil"/>
          <w:right w:val="nil"/>
          <w:between w:val="nil"/>
        </w:pBdr>
        <w:ind w:left="426"/>
        <w:jc w:val="both"/>
        <w:rPr>
          <w:color w:val="000000"/>
          <w:sz w:val="22"/>
          <w:szCs w:val="22"/>
        </w:rPr>
      </w:pPr>
      <w:r>
        <w:rPr>
          <w:color w:val="000000"/>
          <w:sz w:val="22"/>
          <w:szCs w:val="22"/>
        </w:rPr>
        <w:t xml:space="preserve">a formulare la graduatoria finale secondo il punteggio complessivo ottenuto dai concorrenti (dato dalla somma tra il punteggio assegnato alla qualità e il punteggio assegnato al prezzo). In caso di parità di due o più offerte si procederà ad effettuare Gara di miglioria, ai sensi delle vigenti disposizioni in materia. In tal caso le Ditte interessate verranno invitate a formulare, entro un termine predeterminato, un’offerta migliorativa. In ipotesi di inutile espletamento della trattativa migliorativa, si procederà al sorteggio, in seduta pubblica, tra le offerte risultate prime “a pari merito”; </w:t>
      </w:r>
    </w:p>
    <w:p w:rsidR="00065EFA" w:rsidRDefault="00A73CA4">
      <w:pPr>
        <w:numPr>
          <w:ilvl w:val="1"/>
          <w:numId w:val="27"/>
        </w:numPr>
        <w:pBdr>
          <w:top w:val="nil"/>
          <w:left w:val="nil"/>
          <w:bottom w:val="nil"/>
          <w:right w:val="nil"/>
          <w:between w:val="nil"/>
        </w:pBdr>
        <w:ind w:left="426"/>
        <w:jc w:val="both"/>
        <w:rPr>
          <w:color w:val="000000"/>
          <w:sz w:val="22"/>
          <w:szCs w:val="22"/>
        </w:rPr>
      </w:pPr>
      <w:r>
        <w:rPr>
          <w:color w:val="000000"/>
          <w:sz w:val="22"/>
          <w:szCs w:val="22"/>
        </w:rPr>
        <w:t xml:space="preserve">ad individuare le offerte che presentano carattere anormalmente basso; </w:t>
      </w:r>
    </w:p>
    <w:p w:rsidR="00065EFA" w:rsidRDefault="00A73CA4">
      <w:pPr>
        <w:numPr>
          <w:ilvl w:val="1"/>
          <w:numId w:val="27"/>
        </w:numPr>
        <w:pBdr>
          <w:top w:val="nil"/>
          <w:left w:val="nil"/>
          <w:bottom w:val="nil"/>
          <w:right w:val="nil"/>
          <w:between w:val="nil"/>
        </w:pBdr>
        <w:ind w:left="426"/>
        <w:rPr>
          <w:color w:val="000000"/>
          <w:sz w:val="22"/>
          <w:szCs w:val="22"/>
        </w:rPr>
      </w:pPr>
      <w:r>
        <w:rPr>
          <w:color w:val="000000"/>
          <w:sz w:val="22"/>
          <w:szCs w:val="22"/>
        </w:rPr>
        <w:t xml:space="preserve">a formulare la proposta di aggiudicazione in favore della migliore offerta. </w:t>
      </w:r>
    </w:p>
    <w:p w:rsidR="00065EFA" w:rsidRDefault="00065EFA">
      <w:pPr>
        <w:pBdr>
          <w:top w:val="nil"/>
          <w:left w:val="nil"/>
          <w:bottom w:val="nil"/>
          <w:right w:val="nil"/>
          <w:between w:val="nil"/>
        </w:pBdr>
        <w:ind w:left="426"/>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Delle operazioni suddette verrà redatto apposito Verbale che verrà inviato ai concorrenti tramite l’area “Comunicazioni procedura”. La comunicazione tramite l’area “Comunicazioni procedura” è valida agli effetti di cui all’art. 90 d.lgs. 36/2023. Il Verbale stesso sarà pubblicato anche sul profilo del committente.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Con riferimento a ciascun lotto, all’esito delle predette operazioni, il Sistema consentirà la visualizzazione della classificazione delle offerte ammesse secondo la graduatoria decrescente delle offerte in ragione del punteggio attribuito a ciascun concorrente.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Attraverso il Sistema, con riferimento a ciascun singolo Lotto, inoltre è data evidenza della soglia di anomalia per l’individuazione di eventuali offerte anormalmente basse,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RUP richiede al concorrente la presentazione delle spiegazioni, se del caso, indicando le componenti specifiche dell’offerta ritenute anomale.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 tal fine, assegna un termine non superiore a quindici giorni dal ricevimento della richiesta.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RUP, esaminate le spiegazioni fornite dall’offerente, ove le ritenga non sufficienti ad escludere l’anomalia, può chiedere, anche mediante audizione orale, ulteriori chiarimenti, assegnando un termine perentorio per il riscontro.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RUP esclude le offerte che, in base all’esame degli elementi forniti con le spiegazioni risultino, nel complesso, inaffidabili.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Effettuata con esito positivo la verifica di congruità delle offerte risultate anormalmente basse, la Stazione Appaltante procederà con l’aggiudicazione, ai sensi dell’articolo 108, del D. Lgs. 36/2023. </w:t>
      </w: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 xml:space="preserve">La Stazione Appaltante, ai sensi dell’art. 108 comma 10 del d.lgs. 36/2023 si riserva la facoltà di non aggiudicare la fornitura se nessuna offerta risulti conveniente e idonea in relazione all’oggetto del contratto. Si precisa inoltre che si potrà sospendere, </w:t>
      </w:r>
      <w:proofErr w:type="spellStart"/>
      <w:r>
        <w:rPr>
          <w:color w:val="000000"/>
          <w:sz w:val="22"/>
          <w:szCs w:val="22"/>
        </w:rPr>
        <w:t>reindire</w:t>
      </w:r>
      <w:proofErr w:type="spellEnd"/>
      <w:r>
        <w:rPr>
          <w:color w:val="000000"/>
          <w:sz w:val="22"/>
          <w:szCs w:val="22"/>
        </w:rPr>
        <w:t xml:space="preserve"> e/o non aggiudicare la Gara in presenza di adeguate motivazioni. </w:t>
      </w:r>
    </w:p>
    <w:p w:rsidR="00065EFA" w:rsidRDefault="00A73CA4">
      <w:pPr>
        <w:pBdr>
          <w:top w:val="nil"/>
          <w:left w:val="nil"/>
          <w:bottom w:val="nil"/>
          <w:right w:val="nil"/>
          <w:between w:val="nil"/>
        </w:pBdr>
        <w:jc w:val="both"/>
        <w:rPr>
          <w:color w:val="000000"/>
          <w:sz w:val="22"/>
          <w:szCs w:val="22"/>
        </w:rPr>
      </w:pPr>
      <w:r>
        <w:rPr>
          <w:color w:val="000000"/>
          <w:sz w:val="22"/>
          <w:szCs w:val="22"/>
        </w:rPr>
        <w:t>La delibera di aggiudicazione verrà comunicata ai concorrenti all’interno dell’area “Comunicazioni procedura” e tale comunicazione avrà valenza legale ai sensi dell’art. 90 del d.lgs. 36/2023. Contestualmente saranno trasmessi nella medesima area, anche i verbali delle sedute riservate della Commissione giudicatrice relativi alle valutazioni delle offerte tecniche.</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Art. 10 – SITO INTERNET E COMUNICAZIONI PER LE IMPRESE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In generale tutte le comunicazioni e gli scambi di informazioni tra Azienda ULSS n. 8 “</w:t>
      </w:r>
      <w:proofErr w:type="spellStart"/>
      <w:r>
        <w:rPr>
          <w:color w:val="000000"/>
          <w:sz w:val="22"/>
          <w:szCs w:val="22"/>
        </w:rPr>
        <w:t>Berica</w:t>
      </w:r>
      <w:proofErr w:type="spellEnd"/>
      <w:r>
        <w:rPr>
          <w:color w:val="000000"/>
          <w:sz w:val="22"/>
          <w:szCs w:val="22"/>
        </w:rPr>
        <w:t>” e gli offerenti avverranno, ai sensi del D. Lgs. 36/2023, a mezzo di strumenti elettronici.</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Tutte le comunicazioni nell’ambito della procedura di gara, ivi comprese le comunicazioni di aggiudicazione o le esclusioni, avvengono esclusivamente attraverso Posta Elettronica Certificata all’indirizzo dichiarato nella fase di Registrazione al Sistema. Le comunicazioni suddette avverranno tramite la piattaforma </w:t>
      </w:r>
      <w:proofErr w:type="spellStart"/>
      <w:r>
        <w:rPr>
          <w:color w:val="000000"/>
          <w:sz w:val="22"/>
          <w:szCs w:val="22"/>
        </w:rPr>
        <w:t>Sintel</w:t>
      </w:r>
      <w:proofErr w:type="spellEnd"/>
      <w:r>
        <w:rPr>
          <w:color w:val="000000"/>
          <w:sz w:val="22"/>
          <w:szCs w:val="22"/>
        </w:rPr>
        <w:t xml:space="preserve"> e avranno pieno valore legale, ai sensi e per gli effetti del </w:t>
      </w:r>
      <w:proofErr w:type="spellStart"/>
      <w:r>
        <w:rPr>
          <w:color w:val="000000"/>
          <w:sz w:val="22"/>
          <w:szCs w:val="22"/>
        </w:rPr>
        <w:t>D.Lgs.</w:t>
      </w:r>
      <w:proofErr w:type="spellEnd"/>
      <w:r>
        <w:rPr>
          <w:color w:val="000000"/>
          <w:sz w:val="22"/>
          <w:szCs w:val="22"/>
        </w:rPr>
        <w:t xml:space="preserve"> 36/2023, nei confronti del concorrente.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 concorrenti potranno estrarre i documenti di gara direttamente dalla piattaforma </w:t>
      </w:r>
      <w:proofErr w:type="spellStart"/>
      <w:r>
        <w:rPr>
          <w:color w:val="000000"/>
          <w:sz w:val="22"/>
          <w:szCs w:val="22"/>
        </w:rPr>
        <w:t>Sintel</w:t>
      </w:r>
      <w:proofErr w:type="spellEnd"/>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Per eventuali richieste di informazioni complementari e/o chiarimenti sul contenuto del presente Disciplinare, i concorrenti devono trasmettere tali comunicazioni di richiesta, in lingua italiana, per mezzo della funzione “Comunicazioni della procedura” presente sulla piattaforma </w:t>
      </w:r>
      <w:proofErr w:type="spellStart"/>
      <w:r>
        <w:rPr>
          <w:color w:val="000000"/>
          <w:sz w:val="22"/>
          <w:szCs w:val="22"/>
        </w:rPr>
        <w:t>Sintel</w:t>
      </w:r>
      <w:proofErr w:type="spellEnd"/>
      <w:r>
        <w:rPr>
          <w:color w:val="000000"/>
          <w:sz w:val="22"/>
          <w:szCs w:val="22"/>
        </w:rPr>
        <w:t xml:space="preserve">, entro e non oltre il </w:t>
      </w:r>
      <w:r>
        <w:rPr>
          <w:b/>
          <w:bCs/>
          <w:color w:val="000000"/>
          <w:sz w:val="22"/>
          <w:szCs w:val="22"/>
          <w:u w:val="single"/>
        </w:rPr>
        <w:t>decimo giorno (10 gg) antecedente la scadenza</w:t>
      </w:r>
      <w:r>
        <w:rPr>
          <w:color w:val="000000"/>
          <w:sz w:val="22"/>
          <w:szCs w:val="22"/>
        </w:rPr>
        <w:t xml:space="preserve"> del termine per la presentazione delle offerte indicato nella piattaforma </w:t>
      </w:r>
      <w:proofErr w:type="spellStart"/>
      <w:r>
        <w:rPr>
          <w:color w:val="000000"/>
          <w:sz w:val="22"/>
          <w:szCs w:val="22"/>
        </w:rPr>
        <w:t>Sintel</w:t>
      </w:r>
      <w:proofErr w:type="spellEnd"/>
      <w:r>
        <w:rPr>
          <w:color w:val="000000"/>
          <w:sz w:val="22"/>
          <w:szCs w:val="22"/>
        </w:rPr>
        <w:t>.</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In tal senso farà fede la data di ricezione della comunicazione a </w:t>
      </w:r>
      <w:proofErr w:type="spellStart"/>
      <w:r>
        <w:rPr>
          <w:color w:val="000000"/>
          <w:sz w:val="22"/>
          <w:szCs w:val="22"/>
        </w:rPr>
        <w:t>Sintel</w:t>
      </w:r>
      <w:proofErr w:type="spellEnd"/>
      <w:r>
        <w:rPr>
          <w:color w:val="000000"/>
          <w:sz w:val="22"/>
          <w:szCs w:val="22"/>
        </w:rPr>
        <w:t>. Le richieste dovranno riportare l’oggetto della gara seguito dalla dicitura: Richiesta chiarimenti.</w:t>
      </w:r>
    </w:p>
    <w:p w:rsidR="00065EFA" w:rsidRDefault="00A73CA4">
      <w:pPr>
        <w:pBdr>
          <w:top w:val="nil"/>
          <w:left w:val="nil"/>
          <w:bottom w:val="nil"/>
          <w:right w:val="nil"/>
          <w:between w:val="nil"/>
        </w:pBdr>
        <w:jc w:val="both"/>
        <w:rPr>
          <w:color w:val="000000"/>
          <w:sz w:val="22"/>
          <w:szCs w:val="22"/>
        </w:rPr>
      </w:pPr>
      <w:r>
        <w:rPr>
          <w:b/>
          <w:bCs/>
          <w:color w:val="000000"/>
          <w:sz w:val="22"/>
          <w:szCs w:val="22"/>
          <w:u w:val="single"/>
        </w:rPr>
        <w:t>Entro 6 giorni antecedenti la scadenza</w:t>
      </w:r>
      <w:r>
        <w:rPr>
          <w:color w:val="000000"/>
          <w:sz w:val="22"/>
          <w:szCs w:val="22"/>
        </w:rPr>
        <w:t xml:space="preserve"> del termine per la presentazione delle offerte, la stazione appaltante procederà a pubblicare sul profilo del committente le risposte ai quesiti che siano stati richiesti in tempo utile. Le risposte ai chiarimenti saranno altresì pubblicate su </w:t>
      </w:r>
      <w:proofErr w:type="spellStart"/>
      <w:r>
        <w:rPr>
          <w:color w:val="000000"/>
          <w:sz w:val="22"/>
          <w:szCs w:val="22"/>
        </w:rPr>
        <w:t>Sintel</w:t>
      </w:r>
      <w:proofErr w:type="spellEnd"/>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Si precisa che verranno considerati validi, per cui verrà data risposta, unicamente ai chiarimenti ricevuti tramite il canale presente su </w:t>
      </w:r>
      <w:proofErr w:type="spellStart"/>
      <w:r>
        <w:rPr>
          <w:color w:val="000000"/>
          <w:sz w:val="22"/>
          <w:szCs w:val="22"/>
        </w:rPr>
        <w:t>Sintel</w:t>
      </w:r>
      <w:proofErr w:type="spellEnd"/>
      <w:r>
        <w:rPr>
          <w:color w:val="000000"/>
          <w:sz w:val="22"/>
          <w:szCs w:val="22"/>
        </w:rPr>
        <w:t xml:space="preserve"> “Comunicazioni della procedura”. In caso di mancato rispetto delle predette condizioni, ovvero in caso di non corretto invio delle richieste di chiarimento, l’Azienda ULSS n. 8 “</w:t>
      </w:r>
      <w:proofErr w:type="spellStart"/>
      <w:r>
        <w:rPr>
          <w:color w:val="000000"/>
          <w:sz w:val="22"/>
          <w:szCs w:val="22"/>
        </w:rPr>
        <w:t>Berica</w:t>
      </w:r>
      <w:proofErr w:type="spellEnd"/>
      <w:r>
        <w:rPr>
          <w:color w:val="000000"/>
          <w:sz w:val="22"/>
          <w:szCs w:val="22"/>
        </w:rPr>
        <w:t>” non sarà ritenuta responsabile della mancata risposta agli stessi.</w:t>
      </w:r>
    </w:p>
    <w:p w:rsidR="00065EFA" w:rsidRDefault="00A73CA4">
      <w:pPr>
        <w:pBdr>
          <w:top w:val="nil"/>
          <w:left w:val="nil"/>
          <w:bottom w:val="nil"/>
          <w:right w:val="nil"/>
          <w:between w:val="nil"/>
        </w:pBdr>
        <w:jc w:val="both"/>
        <w:rPr>
          <w:color w:val="000000"/>
          <w:sz w:val="22"/>
          <w:szCs w:val="22"/>
        </w:rPr>
      </w:pPr>
      <w:r>
        <w:rPr>
          <w:color w:val="000000"/>
          <w:sz w:val="22"/>
          <w:szCs w:val="22"/>
        </w:rPr>
        <w:t>Nei casi di comprovato malfunzionamento e/o indisponibilità prolungata del Sistema, o nel caso in cui la ditta legalmente non sia obbligata ad avere la PEC, la Stazione Appaltante si riserva di ricevere le richieste di informazioni e chiarimenti anche solo a mezzo email.</w:t>
      </w:r>
    </w:p>
    <w:p w:rsidR="00065EFA" w:rsidRDefault="00A73CA4">
      <w:pPr>
        <w:pBdr>
          <w:top w:val="nil"/>
          <w:left w:val="nil"/>
          <w:bottom w:val="nil"/>
          <w:right w:val="nil"/>
          <w:between w:val="nil"/>
        </w:pBdr>
        <w:jc w:val="both"/>
        <w:rPr>
          <w:color w:val="000000"/>
          <w:sz w:val="22"/>
          <w:szCs w:val="22"/>
        </w:rPr>
      </w:pPr>
      <w:r>
        <w:rPr>
          <w:color w:val="000000"/>
          <w:sz w:val="22"/>
          <w:szCs w:val="22"/>
        </w:rPr>
        <w:t>Eventuali rettifiche al disciplinare verranno pubblicate secondo le modalità di legge.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È onere dei concorrenti visitare la piattaforma </w:t>
      </w:r>
      <w:proofErr w:type="spellStart"/>
      <w:r>
        <w:rPr>
          <w:color w:val="000000"/>
          <w:sz w:val="22"/>
          <w:szCs w:val="22"/>
        </w:rPr>
        <w:t>SinTel</w:t>
      </w:r>
      <w:proofErr w:type="spellEnd"/>
      <w:r>
        <w:rPr>
          <w:color w:val="000000"/>
          <w:sz w:val="22"/>
          <w:szCs w:val="22"/>
        </w:rPr>
        <w:t xml:space="preserve"> prima della scadenza dei termini per la presentazione delle offerte, al fine di verificare la presenza di eventuali note integrative o esplicative.</w:t>
      </w:r>
    </w:p>
    <w:p w:rsidR="00065EFA" w:rsidRDefault="00065EFA">
      <w:pPr>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11 – DEPOSITO CAUZIONALE DEFINITIVO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A garanzia dell’esatto e completo adempimento di tutti gli obblighi derivanti dal contratto, che discenderà a seguito della successiva procedura di affidamento, nonché del risarcimento dei danni derivanti dall’inadempimento degli obblighi stessi, nonché del rimborso delle somme che l’Azienda sanitaria abbia eventualmente pagato in più durante l’esecuzione della fornitura, l’Operatore Economico dovrà costituire entro 15 giorni dalla richiesta - un deposito cauzionale definitivo, pari al 5%  dell’imponibile contrattuale, ai sensi dell’art. 53 del D.lgs. 36/2023</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12 – CONSEGNE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consegna della merce ordinata, dovrà essere effettuata presso il Magazzino Aziendale indicato nell’ordine, entro 7 giorni dalla sua data di emissione, salvo nei casi di imprevista e urgente necessità nei quali la consegna dovrà avvenire entro 48 ore dalla data dell’ordine contenente espressa indicazione in merito all’urgenza.</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lastRenderedPageBreak/>
        <w:t>MAGAZZINO: Magazzino, Via A. Volta 25/C - 35030 Veggiano (PD)</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Documenti di Trasporto (DDT), che accompagnano la merce all’atto della consegna, dovranno contenere gli estremi dell’ordine dell’Azienda U.L.SS. e - per ogni prodotto fornito - dovranno obbligatoriamente specificare: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quantità dei beni consegnati;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descrizione dei beni consegnati;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nome commerciale;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codice ditta;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n° lotto;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data di scadenza.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carenza di uno o più degli elementi sopra citati potrà portare a ritardi nella liquidazione delle fatture che non potranno essere addebitati all’Azienda Sanitaria.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merce inviata dovrà avere una scadenza (ben evidenziata sulla confezione) pari ad almeno i tre quarti della validità complessiva dalla data di consegna.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Nel caso in cui la Ditta non fosse in grado di procedere all’evasione dell’ordine in un’unica soluzione nei tempi stabiliti - previo preavviso ed accordi con l’U.O. interessata potrà provvedere alla consegna parziale e procedere successivamente al completamento della fornitura, sempre nel rispetto degli aspetti organizzativi dell’U.O. e senza causare l’interruzione del servizio.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L’Azienda provvederà, a seconda dei casi, all’applicazione delle relative penali di cui all’art. “Inadempimenti e Penali”.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fornitore dovrà effettuare le consegne a proprio rischio. Il materiale dovrà essere consegnato a terra franco magazzino con i relativi documenti di trasporto e nessun onere aggiunto sarà riconosciuto per imballaggio e trasporto – e per spese di qualsiasi altra natura - quand’anche effettuato per consegne urgenti.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Dovrà essere garantito lo scarico a terra dei bancali.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Gli imballi dovranno consentire un perfetto stato di conservazione dei prodotti oggetto della presente fornitura così che, confezionati nei dovuti modi, possano essere protetti da: esalazioni, calore, luce, umidità, urti ed altre eventuali azioni meccaniche.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Gli imballi e i confezionamenti, all’esterno, dovranno riportare, in lingua italiana: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i dati relativi all’identificazione del prodotto, il lotto di fabbricazione, la data di scadenza, il nome/ragione sociale del produttore;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le diciture e le avvertenze necessarie ad una corretta movimentazione e conservazione dei dispositivi contenuti.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trasporti dovranno essere effettuati con mezzi aventi caratteristiche coerenti con lo specifico tipo di merce movimentato e, per i casi previsti dalle vigenti disposizioni legislative, regolarmente dotati delle prescritte autorizzazioni.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Il fornitore dovrà adottare tutte le precauzioni necessarie per la perfetta conservazione della merce durante il trasporto.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In ogni caso l’Azienda U.L.SS. non si considera responsabile di eventuali danni subiti dai dispositivi nel corso del trasporto verso i propri magazzini, sino al momento dell’effettiva presa in carico.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Gli eventuali oneri rimangono a carico dell’aggiudicataria.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Ditta aggiudicataria garantisce altresì che i prodotti oggetto della contrattazione, oltre ad essere conformi alle prescrizioni di legge per le specifiche categorie merceologiche cui appartengono, sono forniti nel rispetto delle norme: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di igiene sulla produzione e sul commercio;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di igiene sui contenitori, garantendo il trasporto fino alla consegna mediante veicoli dotati delle necessarie condizioni di coibentazione e refrigerazione al fine di garantire la catena del freddo. I prodotti da conservare a temperatura diversa da quella ambientale dovranno essere evidenziati mediante apposite etichette;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w:t>
      </w:r>
      <w:r>
        <w:rPr>
          <w:color w:val="000000"/>
          <w:sz w:val="22"/>
          <w:szCs w:val="22"/>
        </w:rPr>
        <w:tab/>
        <w:t>sull’infortunistica, sulla prevenzione degli incendi.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Non saranno accettati i prodotti consegnati senza il rispetto delle temperature previste.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merce consegnata verrà presa in carico dal magazzino aziendale, previo accertamento della prestazione effettuata in termini di quantità e qualità rispetto a quanto descritto nel documento di trasporto.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 presa in carico da parte dell’Azienda U.L.SS. non esclude responsabilità del fornitore per vizi e/o difetti e/o </w:t>
      </w:r>
      <w:r>
        <w:rPr>
          <w:color w:val="000000"/>
          <w:sz w:val="22"/>
          <w:szCs w:val="22"/>
        </w:rPr>
        <w:lastRenderedPageBreak/>
        <w:t>difformità, anche se emergenti in sede di utilizzo.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materiale consegnato dovrà essere esattamente conforme a quello in offerta, di cui alle schede tecniche che saranno conservate dall’Azienda U.L.SS. ai fini di eventuali verifiche di rispondenza.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All’atto di ogni consegna potranno essere prelevati, a cura dell’U.L.SS., campioni di merce per l’accertamento delle caratteristiche richieste.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controlli qualitativi saranno effettuati, di norma, presso i Servizi Tecnico Sanitari dell’U.L.SS. Quest’ultima si riserva, inoltre, la facoltà di fare eseguire i controlli chimici su campioni prelevati da singole consegne presso laboratori specializzati in materia. Le spese per analisi qualitative saranno a carico della Ditta fornitrice qualora i dati rilevati risultino difformi dal presente capitolato.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L’Amministrazione contraente metterà a disposizione, per il ritiro, la merce eventualmente fornita in eccedenza e ne garantirà il deposito per complessivi 7 (sette) giorni lavorativi. Il fornitore dovrà, a suo rischio e spese, provvedere al ritiro dei prodotti in eccedenza e non accettati, concordando con l’Azienda U.L.SS. le modalità del ritiro.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Qualora il fornitore non provveda al ritiro della merce in eccedenza, dopo 30 (trenta) giorni dalla medesima segnalazione la merce verrà restituita a mezzo corriere, scelto dall’Amministrazione, in porto assegnato.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fornitore non potrà pretendere alcun risarcimento o indennizzo per il deterioramento che la stessa potrebbe subire durante il deposito, oltre i 7 (sette) giorni lavorativi di deposito garantiti.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prodotti che presenteranno difetti e/o difformità o discordanze verranno tenuti a disposizione del fornitore e restituiti, anche se tolti dal loro imballaggio originale, con le modalità sopradescritte.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Anche gli imballaggi che, a giudizio del personale dell’Azienda Sanitaria, presentassero difetti saranno rifiutati ed il fornitore dovrà provvedere all’immediata sostituzione.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L’impresa aggiudicataria dovrà garantire il ritiro dei prodotti consegnati e non utilizzati, qualora al termine del periodo contrattuale l’Azienda disponga di materiale il cui confezionamento risulti ancora integro. In tal caso la Ditta si impegna ad emettere nota di accredito per l’importo di spesa pari al materiale reso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13 -CONFEZIONAMENTO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 prodotti offerti dovranno essere contenuti in confezioni idonee a non danneggiare il materiale, anche durante la fase del trasporto e comunque in conformità a quanto indicato nella direttiva CEE 93/42 recepita con </w:t>
      </w:r>
      <w:proofErr w:type="spellStart"/>
      <w:r>
        <w:rPr>
          <w:color w:val="000000"/>
          <w:sz w:val="22"/>
          <w:szCs w:val="22"/>
        </w:rPr>
        <w:t>D.Lgs.</w:t>
      </w:r>
      <w:proofErr w:type="spellEnd"/>
      <w:r>
        <w:rPr>
          <w:color w:val="000000"/>
          <w:sz w:val="22"/>
          <w:szCs w:val="22"/>
        </w:rPr>
        <w:t xml:space="preserve"> n° 46 del 24/02/1997 e successive modifiche ed integrazioni.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prodotti devono essere contenuti in confezioni di facile apertura, con caratteristiche di robustezza tali da impedire facili lacerazioni accidentali.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confezionamento secondario dovrà contenere un multiplo congruo delle unità singolarmente confezionate, tale da facilitare le operazioni di consegna.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contenitore secondario dovrà inoltre essere in materiale tale da proteggere il contenuto da strappi ed eventuali contaminazioni, resistente all’umidità. Deve riportare tutti i dati necessari ad individuare il tipo di contenuto, espressi in lingua italiana o sotto forma di simboli grafici conformi a quelli specificati nelle norme armonizzate (norma tecnica EN 980) - qualora fossero usati simboli non previsti dalle norme armonizzate deve essere aggiunta la spiegazione del loro significato-, il lotto di fabbricazione, la data di scadenza, il nome del produttore o la ragione sociale del fabbricante ed eventuali istruzioni per l’uso.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14 - ETICHETTA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Ogni dispositivo medico deve essere corredato dalle necessarie informazioni per garantirne un utilizzo sicuro e per consentire di identificare il fabbricante, come da direttiva 93/42/CEE sui Dispositivi Medici recepita con </w:t>
      </w:r>
      <w:proofErr w:type="spellStart"/>
      <w:r>
        <w:rPr>
          <w:color w:val="000000"/>
          <w:sz w:val="22"/>
          <w:szCs w:val="22"/>
        </w:rPr>
        <w:t>D.Lgs.</w:t>
      </w:r>
      <w:proofErr w:type="spellEnd"/>
      <w:r>
        <w:rPr>
          <w:color w:val="000000"/>
          <w:sz w:val="22"/>
          <w:szCs w:val="22"/>
        </w:rPr>
        <w:t xml:space="preserve"> n° 46 del 24/02/1997 e successive modifiche ed integrazioni.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In particolare, il confezionamento primario o, qualora lo spazio non fosse sufficiente su quello secondario, dei prodotti oggetto della fornitura dovrà riportare, a caratteri indelebili e ben visibili, in lingua italiana o sotto forma di simboli grafici conformi a quelli specificati nelle norme armonizzate (norma tecnica EN </w:t>
      </w:r>
      <w:proofErr w:type="gramStart"/>
      <w:r>
        <w:rPr>
          <w:color w:val="000000"/>
          <w:sz w:val="22"/>
          <w:szCs w:val="22"/>
        </w:rPr>
        <w:t>980)-</w:t>
      </w:r>
      <w:proofErr w:type="gramEnd"/>
      <w:r>
        <w:rPr>
          <w:color w:val="000000"/>
          <w:sz w:val="22"/>
          <w:szCs w:val="22"/>
        </w:rPr>
        <w:t>qualora fossero usati simboli non previsti dalle norme armonizzate deve essere aggiunta la spiegazione del loro significato- le seguenti indicazioni:</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descrizione del prodotto;</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 xml:space="preserve">marchio CE di conformità alla Direttiva 93/42/CEE recepita con </w:t>
      </w:r>
      <w:proofErr w:type="spellStart"/>
      <w:r>
        <w:rPr>
          <w:color w:val="000000"/>
          <w:sz w:val="22"/>
          <w:szCs w:val="22"/>
        </w:rPr>
        <w:t>D.Lgs.</w:t>
      </w:r>
      <w:proofErr w:type="spellEnd"/>
      <w:r>
        <w:rPr>
          <w:color w:val="000000"/>
          <w:sz w:val="22"/>
          <w:szCs w:val="22"/>
        </w:rPr>
        <w:t xml:space="preserve"> n°46 del 24/02/1997 e successive modifiche ed integrazioni;</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numero di lotto, data di fabbricazione e/o data di scadenza;</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lastRenderedPageBreak/>
        <w:t>sterilità;</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nome o ragione sociale del produttore e/o distributore;</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condizioni specifiche di conservazione, qualora vi siano condizioni di conservazione o manipolazione diverse da quelle normalmente prevedibili;</w:t>
      </w:r>
    </w:p>
    <w:p w:rsidR="00065EFA" w:rsidRDefault="00A73CA4">
      <w:pPr>
        <w:widowControl w:val="0"/>
        <w:numPr>
          <w:ilvl w:val="0"/>
          <w:numId w:val="16"/>
        </w:numPr>
        <w:pBdr>
          <w:top w:val="nil"/>
          <w:left w:val="nil"/>
          <w:bottom w:val="nil"/>
          <w:right w:val="nil"/>
          <w:between w:val="nil"/>
        </w:pBdr>
        <w:jc w:val="both"/>
        <w:rPr>
          <w:color w:val="000000"/>
          <w:sz w:val="22"/>
          <w:szCs w:val="22"/>
        </w:rPr>
      </w:pPr>
      <w:r>
        <w:rPr>
          <w:color w:val="000000"/>
          <w:sz w:val="22"/>
          <w:szCs w:val="22"/>
        </w:rPr>
        <w:t>eventuali istruzioni per l’uso.</w:t>
      </w:r>
    </w:p>
    <w:p w:rsidR="00065EFA" w:rsidRDefault="00065EFA">
      <w:pPr>
        <w:widowControl w:val="0"/>
        <w:pBdr>
          <w:top w:val="nil"/>
          <w:left w:val="nil"/>
          <w:bottom w:val="nil"/>
          <w:right w:val="nil"/>
          <w:between w:val="nil"/>
        </w:pBdr>
        <w:jc w:val="both"/>
        <w:rPr>
          <w:color w:val="000000"/>
          <w:sz w:val="22"/>
          <w:szCs w:val="22"/>
          <w:highlight w:val="yellow"/>
        </w:rPr>
      </w:pPr>
    </w:p>
    <w:p w:rsidR="00065EFA" w:rsidRDefault="00A73CA4">
      <w:pPr>
        <w:widowControl w:val="0"/>
        <w:pBdr>
          <w:top w:val="nil"/>
          <w:left w:val="nil"/>
          <w:bottom w:val="nil"/>
          <w:right w:val="nil"/>
          <w:between w:val="nil"/>
        </w:pBdr>
        <w:jc w:val="both"/>
        <w:rPr>
          <w:color w:val="000000"/>
          <w:sz w:val="22"/>
          <w:szCs w:val="22"/>
          <w:highlight w:val="yellow"/>
          <w:u w:val="single"/>
        </w:rPr>
      </w:pPr>
      <w:r>
        <w:rPr>
          <w:b/>
          <w:bCs/>
          <w:color w:val="000000"/>
          <w:sz w:val="22"/>
          <w:szCs w:val="22"/>
          <w:u w:val="single"/>
        </w:rPr>
        <w:t>I prodotti, in funzione della loro sterilità dovranno avere, al momento della consegna, almeno 2/3 della loro validità residua.</w:t>
      </w:r>
    </w:p>
    <w:p w:rsidR="00065EFA" w:rsidRDefault="00065EFA">
      <w:pPr>
        <w:widowControl w:val="0"/>
        <w:pBdr>
          <w:top w:val="nil"/>
          <w:left w:val="nil"/>
          <w:bottom w:val="nil"/>
          <w:right w:val="nil"/>
          <w:between w:val="nil"/>
        </w:pBdr>
        <w:jc w:val="both"/>
        <w:rPr>
          <w:color w:val="000000"/>
          <w:sz w:val="22"/>
          <w:szCs w:val="22"/>
          <w:highlight w:val="yellow"/>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15 – AGGIORNAMENTO TECNOLOGICO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Qualora nel corso della durata contrattuale, l’impresa appaltatrice introduca in commercio nuovi prodotti, anche a seguito di modifiche normative, analoghi a quelli oggetto della fornitura che presentino migliori o uguali caratteristiche di rendimento e funzionalità, i nuovi prodotti dovranno essere proposti, anche su richiesta del Direttore dell’U.O. ed autorizzazione di questa Azienda U.L.SS., alle medesime condizioni negoziali - in sostituzione parziale, totale e/o affiancamento di quelli aggiudicati - previa valutazione qualitativa da parte dell’U.L.SS., ad un prezzo non superiore a quello dei prodotti sostituiti; in tal caso l’appaltatore provvederà al ritiro del materiale non utilizzato e il cui confezionamento risulti ancora integro, emettendo relativa nota di accredito pari all’importo del materiale reso.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fornitore dovrà fornire adeguato corso di aggiornamento al personale e tutto il necessario per il corretto utilizzo dei nuovi prodotti immessi in commercio.</w:t>
      </w:r>
    </w:p>
    <w:p w:rsidR="00065EFA" w:rsidRDefault="00065EFA">
      <w:pPr>
        <w:pBdr>
          <w:top w:val="nil"/>
          <w:left w:val="nil"/>
          <w:bottom w:val="nil"/>
          <w:right w:val="nil"/>
          <w:between w:val="nil"/>
        </w:pBdr>
        <w:tabs>
          <w:tab w:val="right" w:pos="9628"/>
        </w:tabs>
        <w:rPr>
          <w:color w:val="000000"/>
          <w:sz w:val="22"/>
          <w:szCs w:val="22"/>
        </w:rPr>
      </w:pPr>
    </w:p>
    <w:p w:rsidR="00065EFA" w:rsidRDefault="00A73CA4">
      <w:pPr>
        <w:pBdr>
          <w:top w:val="nil"/>
          <w:left w:val="nil"/>
          <w:bottom w:val="nil"/>
          <w:right w:val="nil"/>
          <w:between w:val="nil"/>
        </w:pBdr>
        <w:tabs>
          <w:tab w:val="right" w:pos="9628"/>
        </w:tabs>
        <w:rPr>
          <w:color w:val="000000"/>
          <w:sz w:val="22"/>
          <w:szCs w:val="22"/>
        </w:rPr>
      </w:pPr>
      <w:r>
        <w:rPr>
          <w:b/>
          <w:bCs/>
          <w:smallCaps/>
          <w:color w:val="000000"/>
          <w:sz w:val="22"/>
          <w:szCs w:val="22"/>
        </w:rPr>
        <w:t>ART. 16 CONSEGNA, INSTALLAZIONE E COLLAUDO STRUMENTAZIONE</w:t>
      </w:r>
      <w:r>
        <w:rPr>
          <w:color w:val="000000"/>
          <w:sz w:val="22"/>
          <w:szCs w:val="22"/>
        </w:rPr>
        <w:t xml:space="preserve">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Le apparecchiature dovranno essere trasportate, consegnate e collaudate presso l’U.O.C </w:t>
      </w:r>
      <w:r>
        <w:rPr>
          <w:sz w:val="22"/>
          <w:szCs w:val="22"/>
        </w:rPr>
        <w:t xml:space="preserve">di Microbiologia </w:t>
      </w:r>
      <w:r>
        <w:rPr>
          <w:color w:val="000000"/>
          <w:sz w:val="22"/>
          <w:szCs w:val="22"/>
        </w:rPr>
        <w:t>dell’Ospedale San Bortolo di Vicenza, con rischi ed oneri a totale carico dell’Aggiudicatario.</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 consegna delle apparecchiature dovrà avvenire entro un termine massimo non superiore </w:t>
      </w:r>
      <w:r>
        <w:rPr>
          <w:b/>
          <w:bCs/>
          <w:color w:val="000000"/>
          <w:sz w:val="22"/>
          <w:szCs w:val="22"/>
        </w:rPr>
        <w:t>a 30 giorni</w:t>
      </w:r>
      <w:r>
        <w:rPr>
          <w:color w:val="000000"/>
          <w:sz w:val="22"/>
          <w:szCs w:val="22"/>
        </w:rPr>
        <w:t xml:space="preserve"> lavorativi dalla data della stipula del contratto, contratto o da altra data concordata con il Direttore di esecuzione del contratto, cui seguirà l’emissione dell’ordinativo di fornitura.</w:t>
      </w:r>
    </w:p>
    <w:p w:rsidR="00065EFA" w:rsidRDefault="00A73CA4">
      <w:pPr>
        <w:pBdr>
          <w:top w:val="nil"/>
          <w:left w:val="nil"/>
          <w:bottom w:val="nil"/>
          <w:right w:val="nil"/>
          <w:between w:val="nil"/>
        </w:pBdr>
        <w:jc w:val="both"/>
        <w:rPr>
          <w:color w:val="000000"/>
          <w:sz w:val="22"/>
          <w:szCs w:val="22"/>
        </w:rPr>
      </w:pPr>
      <w:r>
        <w:rPr>
          <w:color w:val="000000"/>
          <w:sz w:val="22"/>
          <w:szCs w:val="22"/>
        </w:rPr>
        <w:t>Sarà cura dell’Aggiudicatario concordare le modalità di consegna con il Direttore dell’esecuzione contrattuale (DEC) o Direttore dell’U.O.C. competente anche ai fini del collaudo.</w:t>
      </w:r>
    </w:p>
    <w:p w:rsidR="00065EFA" w:rsidRDefault="00A73CA4">
      <w:pPr>
        <w:pBdr>
          <w:top w:val="nil"/>
          <w:left w:val="nil"/>
          <w:bottom w:val="nil"/>
          <w:right w:val="nil"/>
          <w:between w:val="nil"/>
        </w:pBdr>
        <w:spacing w:after="120" w:line="480" w:lineRule="auto"/>
        <w:jc w:val="both"/>
        <w:rPr>
          <w:color w:val="000000"/>
          <w:sz w:val="22"/>
          <w:szCs w:val="22"/>
        </w:rPr>
      </w:pPr>
      <w:r>
        <w:rPr>
          <w:color w:val="000000"/>
          <w:sz w:val="22"/>
          <w:szCs w:val="22"/>
        </w:rPr>
        <w:t>L’appaltatore concorderà con il Direttore di esecuzione del contratto le modalità ed i tempi di consegna, l’installazione e il collaudo delle apparecchiature, nonché l’iter da seguire per le riparazioni e/o sostituzioni, per le verifiche periodiche di sicurezza, secondo la normativa vigente e le raccomandazioni del costruttore.</w:t>
      </w:r>
    </w:p>
    <w:p w:rsidR="00065EFA" w:rsidRDefault="00A73CA4">
      <w:pPr>
        <w:pBdr>
          <w:top w:val="nil"/>
          <w:left w:val="nil"/>
          <w:bottom w:val="nil"/>
          <w:right w:val="nil"/>
          <w:between w:val="nil"/>
        </w:pBdr>
        <w:jc w:val="both"/>
        <w:rPr>
          <w:color w:val="000000"/>
          <w:sz w:val="22"/>
          <w:szCs w:val="22"/>
        </w:rPr>
      </w:pPr>
      <w:r>
        <w:rPr>
          <w:color w:val="000000"/>
          <w:sz w:val="22"/>
          <w:szCs w:val="22"/>
        </w:rPr>
        <w:t>Sono a suo completo carico:</w:t>
      </w:r>
    </w:p>
    <w:p w:rsidR="00065EFA" w:rsidRDefault="00A73CA4">
      <w:pPr>
        <w:numPr>
          <w:ilvl w:val="0"/>
          <w:numId w:val="30"/>
        </w:numPr>
        <w:pBdr>
          <w:top w:val="nil"/>
          <w:left w:val="nil"/>
          <w:bottom w:val="nil"/>
          <w:right w:val="nil"/>
          <w:between w:val="nil"/>
        </w:pBdr>
        <w:jc w:val="both"/>
        <w:rPr>
          <w:color w:val="000000"/>
          <w:sz w:val="22"/>
          <w:szCs w:val="22"/>
        </w:rPr>
      </w:pPr>
      <w:r>
        <w:rPr>
          <w:color w:val="000000"/>
          <w:sz w:val="22"/>
          <w:szCs w:val="22"/>
        </w:rPr>
        <w:t>il trasporto, lo scarico e il posizionamento in sito delle attrezzature e degli accessori, nonché eventuali lavori anche impiantistici necessari, con ogni onere e manovalanza compresa;</w:t>
      </w:r>
    </w:p>
    <w:p w:rsidR="00065EFA" w:rsidRDefault="00A73CA4">
      <w:pPr>
        <w:numPr>
          <w:ilvl w:val="0"/>
          <w:numId w:val="30"/>
        </w:numPr>
        <w:pBdr>
          <w:top w:val="nil"/>
          <w:left w:val="nil"/>
          <w:bottom w:val="nil"/>
          <w:right w:val="nil"/>
          <w:between w:val="nil"/>
        </w:pBdr>
        <w:spacing w:before="28"/>
        <w:jc w:val="both"/>
        <w:rPr>
          <w:color w:val="000000"/>
          <w:sz w:val="22"/>
          <w:szCs w:val="22"/>
        </w:rPr>
      </w:pPr>
      <w:r>
        <w:rPr>
          <w:color w:val="000000"/>
          <w:sz w:val="22"/>
          <w:szCs w:val="22"/>
        </w:rPr>
        <w:t>la custodia in cantiere delle apparecchiature e dei materiali occorrenti per l’installazione;</w:t>
      </w:r>
    </w:p>
    <w:p w:rsidR="00065EFA" w:rsidRDefault="00A73CA4">
      <w:pPr>
        <w:numPr>
          <w:ilvl w:val="0"/>
          <w:numId w:val="30"/>
        </w:numPr>
        <w:pBdr>
          <w:top w:val="nil"/>
          <w:left w:val="nil"/>
          <w:bottom w:val="nil"/>
          <w:right w:val="nil"/>
          <w:between w:val="nil"/>
        </w:pBdr>
        <w:spacing w:before="28"/>
        <w:jc w:val="both"/>
        <w:rPr>
          <w:color w:val="000000"/>
          <w:sz w:val="22"/>
          <w:szCs w:val="22"/>
        </w:rPr>
      </w:pPr>
      <w:r>
        <w:rPr>
          <w:color w:val="000000"/>
          <w:sz w:val="22"/>
          <w:szCs w:val="22"/>
        </w:rPr>
        <w:t>l’attivazione e la messa in funzione delle apparecchiature fornite, con i relativi sistemi di stabilizzazione della corrente elettrica;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I Documenti di Trasporto (DDT), che accompagnano la merce all’atto della consegna, dovranno contenere gli estremi dell’ordine dell’Azienda U.L.SS. e - per ogni prodotto fornito - dovranno obbligatoriamente specificare:</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quantità dei beni consegnati;</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descrizione dei beni consegnati;</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nome commerciale;</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codice ditta;</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n° Lotto di produzione;</w:t>
      </w:r>
    </w:p>
    <w:p w:rsidR="00065EFA" w:rsidRDefault="00A73CA4">
      <w:pPr>
        <w:numPr>
          <w:ilvl w:val="0"/>
          <w:numId w:val="29"/>
        </w:numPr>
        <w:pBdr>
          <w:top w:val="nil"/>
          <w:left w:val="nil"/>
          <w:bottom w:val="nil"/>
          <w:right w:val="nil"/>
          <w:between w:val="nil"/>
        </w:pBdr>
        <w:jc w:val="both"/>
        <w:rPr>
          <w:color w:val="000000"/>
          <w:sz w:val="22"/>
          <w:szCs w:val="22"/>
        </w:rPr>
      </w:pPr>
      <w:r>
        <w:rPr>
          <w:color w:val="000000"/>
          <w:sz w:val="22"/>
          <w:szCs w:val="22"/>
        </w:rPr>
        <w:t>data di scadenza.</w:t>
      </w: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La merce in arrivo non accompagnata da DDT che non riporti tutti i dati richiesti sarà respinta al mittente.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Non sono consentite consegne parziali o in acconto, salvo diversi accordi. </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Le apparecchiature, le parti di apparecchiatura e la strumentazione dovranno essere sottoposte a convalida in sede di installazione e collaudo, utilizzando (ove applicabili) strumenti tarati (taratura SIT o equivalenti) secondo procedura documentata, e deve essere prevista riconvalida periodica a cadenza almeno annuale, secondo specifica pianificazione e secondo procedure documentate, con riferimento alle specifiche dei singoli fabbricanti. </w:t>
      </w:r>
    </w:p>
    <w:p w:rsidR="00065EFA" w:rsidRDefault="00A73CA4">
      <w:pPr>
        <w:pBdr>
          <w:top w:val="nil"/>
          <w:left w:val="nil"/>
          <w:bottom w:val="nil"/>
          <w:right w:val="nil"/>
          <w:between w:val="nil"/>
        </w:pBdr>
        <w:jc w:val="both"/>
        <w:rPr>
          <w:color w:val="000000"/>
          <w:sz w:val="22"/>
          <w:szCs w:val="22"/>
        </w:rPr>
      </w:pPr>
      <w:r>
        <w:rPr>
          <w:color w:val="000000"/>
          <w:sz w:val="22"/>
          <w:szCs w:val="22"/>
        </w:rPr>
        <w:t>Inoltre, l’appaltatore fornirà, con oneri a proprio carico, eventuali supporti che si rendessero necessari per il sostegno delle apparecchiature oggetto della presente fornitura.</w:t>
      </w:r>
    </w:p>
    <w:p w:rsidR="00065EFA" w:rsidRDefault="00A73CA4">
      <w:pPr>
        <w:pBdr>
          <w:top w:val="nil"/>
          <w:left w:val="nil"/>
          <w:bottom w:val="nil"/>
          <w:right w:val="nil"/>
          <w:between w:val="nil"/>
        </w:pBdr>
        <w:jc w:val="both"/>
        <w:rPr>
          <w:color w:val="000000"/>
          <w:sz w:val="22"/>
          <w:szCs w:val="22"/>
        </w:rPr>
      </w:pPr>
      <w:r>
        <w:rPr>
          <w:color w:val="000000"/>
          <w:sz w:val="22"/>
          <w:szCs w:val="22"/>
        </w:rPr>
        <w:t>Allo scadere del contratto l’Appaltatore dovrà provvedere a proprie spese al ritiro dei supporti forniti. Tali supporti saranno restituiti nello stato in cui si trovano dopo l’uso e niente sarà dovuto alla Ditta per il loro utilizzo.</w:t>
      </w:r>
    </w:p>
    <w:p w:rsidR="00065EFA" w:rsidRDefault="00A73CA4">
      <w:pPr>
        <w:pBdr>
          <w:top w:val="nil"/>
          <w:left w:val="nil"/>
          <w:bottom w:val="nil"/>
          <w:right w:val="nil"/>
          <w:between w:val="nil"/>
        </w:pBdr>
        <w:jc w:val="both"/>
        <w:rPr>
          <w:color w:val="000000"/>
          <w:sz w:val="22"/>
          <w:szCs w:val="22"/>
        </w:rPr>
      </w:pPr>
      <w:r>
        <w:rPr>
          <w:color w:val="000000"/>
          <w:sz w:val="22"/>
          <w:szCs w:val="22"/>
        </w:rPr>
        <w:t>Le operazioni di collaudo verranno eseguite dall’appaltatore in contraddittorio con gli incaricati della Azienda U.L.SS., previa comunicazione inviata con congruo anticipo dall’appaltatore al Direttore di esecuzione del contratto e al Responsabile del Servizio di Ingegneria Clinica.</w:t>
      </w:r>
    </w:p>
    <w:p w:rsidR="00065EFA" w:rsidRDefault="00A73CA4">
      <w:pPr>
        <w:pBdr>
          <w:top w:val="nil"/>
          <w:left w:val="nil"/>
          <w:bottom w:val="nil"/>
          <w:right w:val="nil"/>
          <w:between w:val="nil"/>
        </w:pBdr>
        <w:jc w:val="both"/>
        <w:rPr>
          <w:color w:val="000000"/>
          <w:sz w:val="22"/>
          <w:szCs w:val="22"/>
        </w:rPr>
      </w:pPr>
      <w:r>
        <w:rPr>
          <w:color w:val="000000"/>
          <w:sz w:val="22"/>
          <w:szCs w:val="22"/>
        </w:rPr>
        <w:t>Il collaudo dovrà essere in linea con le eventuali indicazioni del Servizio di Ingegneria Clinica.</w:t>
      </w:r>
    </w:p>
    <w:p w:rsidR="00065EFA" w:rsidRDefault="00A73CA4">
      <w:pPr>
        <w:pBdr>
          <w:top w:val="nil"/>
          <w:left w:val="nil"/>
          <w:bottom w:val="nil"/>
          <w:right w:val="nil"/>
          <w:between w:val="nil"/>
        </w:pBdr>
        <w:jc w:val="both"/>
        <w:rPr>
          <w:color w:val="000000"/>
          <w:sz w:val="22"/>
          <w:szCs w:val="22"/>
        </w:rPr>
      </w:pPr>
      <w:r>
        <w:rPr>
          <w:color w:val="000000"/>
          <w:sz w:val="22"/>
          <w:szCs w:val="22"/>
        </w:rPr>
        <w:t>Il collaudo verrà effettuato nel rispetto delle indicazioni riportate nel Regolamento UE 2017/745 (MDR) e nella Guida CEI 62-122 “Guida alle prove di accettazione ed alle verifiche periodiche di sicurezza e/o prestazione dei dispositivi medici alimentati da una particolare sorgente di alimentazione” e sue eventuali successive revisioni.</w:t>
      </w:r>
    </w:p>
    <w:p w:rsidR="00065EFA" w:rsidRDefault="00A73CA4">
      <w:pPr>
        <w:pBdr>
          <w:top w:val="nil"/>
          <w:left w:val="nil"/>
          <w:bottom w:val="nil"/>
          <w:right w:val="nil"/>
          <w:between w:val="nil"/>
        </w:pBdr>
        <w:jc w:val="both"/>
        <w:rPr>
          <w:color w:val="000000"/>
          <w:sz w:val="22"/>
          <w:szCs w:val="22"/>
        </w:rPr>
      </w:pPr>
      <w:r>
        <w:rPr>
          <w:color w:val="000000"/>
          <w:sz w:val="22"/>
          <w:szCs w:val="22"/>
        </w:rPr>
        <w:t>Il collaudo consisterà:</w:t>
      </w:r>
    </w:p>
    <w:p w:rsidR="00065EFA" w:rsidRDefault="00A73CA4">
      <w:pPr>
        <w:numPr>
          <w:ilvl w:val="0"/>
          <w:numId w:val="2"/>
        </w:numPr>
        <w:pBdr>
          <w:top w:val="nil"/>
          <w:left w:val="nil"/>
          <w:bottom w:val="nil"/>
          <w:right w:val="nil"/>
          <w:between w:val="nil"/>
        </w:pBdr>
        <w:spacing w:line="276" w:lineRule="auto"/>
        <w:jc w:val="both"/>
        <w:rPr>
          <w:color w:val="000000"/>
          <w:sz w:val="22"/>
          <w:szCs w:val="22"/>
        </w:rPr>
      </w:pPr>
      <w:r>
        <w:rPr>
          <w:color w:val="000000"/>
          <w:sz w:val="22"/>
          <w:szCs w:val="22"/>
        </w:rPr>
        <w:t>nell’accertamento della presenza di tutte le componenti delle apparecchiature, compresi software e Dispositivi;</w:t>
      </w:r>
    </w:p>
    <w:p w:rsidR="00065EFA" w:rsidRDefault="00A73CA4">
      <w:pPr>
        <w:numPr>
          <w:ilvl w:val="0"/>
          <w:numId w:val="1"/>
        </w:numPr>
        <w:pBdr>
          <w:top w:val="nil"/>
          <w:left w:val="nil"/>
          <w:bottom w:val="nil"/>
          <w:right w:val="nil"/>
          <w:between w:val="nil"/>
        </w:pBdr>
        <w:spacing w:line="276" w:lineRule="auto"/>
        <w:jc w:val="both"/>
        <w:rPr>
          <w:color w:val="000000"/>
          <w:sz w:val="22"/>
          <w:szCs w:val="22"/>
        </w:rPr>
      </w:pPr>
      <w:r>
        <w:rPr>
          <w:color w:val="000000"/>
          <w:sz w:val="22"/>
          <w:szCs w:val="22"/>
        </w:rPr>
        <w:t>nella verifica della conformità tra i requisiti tecnici posseduti dalle apparecchiature e dai relativi Dispositivi, con quelli dichiarati ed emersi in sede di offerta;</w:t>
      </w:r>
    </w:p>
    <w:p w:rsidR="00065EFA" w:rsidRDefault="00A73CA4">
      <w:pPr>
        <w:numPr>
          <w:ilvl w:val="0"/>
          <w:numId w:val="1"/>
        </w:numPr>
        <w:pBdr>
          <w:top w:val="nil"/>
          <w:left w:val="nil"/>
          <w:bottom w:val="nil"/>
          <w:right w:val="nil"/>
          <w:between w:val="nil"/>
        </w:pBdr>
        <w:spacing w:line="276" w:lineRule="auto"/>
        <w:jc w:val="both"/>
        <w:rPr>
          <w:color w:val="000000"/>
          <w:sz w:val="22"/>
          <w:szCs w:val="22"/>
        </w:rPr>
      </w:pPr>
      <w:r>
        <w:rPr>
          <w:color w:val="000000"/>
          <w:sz w:val="22"/>
          <w:szCs w:val="22"/>
        </w:rPr>
        <w:t>nella verifica della conformità delle apparecchiature ai requisiti e alle caratteristiche tecniche previsti dalle norme di legge;</w:t>
      </w:r>
    </w:p>
    <w:p w:rsidR="00065EFA" w:rsidRDefault="00A73CA4">
      <w:pPr>
        <w:numPr>
          <w:ilvl w:val="0"/>
          <w:numId w:val="1"/>
        </w:numPr>
        <w:pBdr>
          <w:top w:val="nil"/>
          <w:left w:val="nil"/>
          <w:bottom w:val="nil"/>
          <w:right w:val="nil"/>
          <w:between w:val="nil"/>
        </w:pBdr>
        <w:spacing w:line="276" w:lineRule="auto"/>
        <w:jc w:val="both"/>
        <w:rPr>
          <w:color w:val="000000"/>
          <w:sz w:val="22"/>
          <w:szCs w:val="22"/>
        </w:rPr>
      </w:pPr>
      <w:r>
        <w:rPr>
          <w:color w:val="000000"/>
          <w:sz w:val="22"/>
          <w:szCs w:val="22"/>
        </w:rPr>
        <w:t xml:space="preserve">nell’accertamento delle corrette condizioni di funzionamento delle apparecchiature sulla scorta di tutte le prove funzionali e diagnostiche stabilite per ciascun tipo di apparecchiatura nei manuali tecnici del Fornitore, con prove di funzionamento sia a livello di hardware che di software, mediante dimostrazioni effettuate dal tecnico del Fornitore, </w:t>
      </w:r>
    </w:p>
    <w:p w:rsidR="00065EFA" w:rsidRDefault="00A73CA4">
      <w:pPr>
        <w:numPr>
          <w:ilvl w:val="0"/>
          <w:numId w:val="1"/>
        </w:numPr>
        <w:pBdr>
          <w:top w:val="nil"/>
          <w:left w:val="nil"/>
          <w:bottom w:val="nil"/>
          <w:right w:val="nil"/>
          <w:between w:val="nil"/>
        </w:pBdr>
        <w:spacing w:line="276" w:lineRule="auto"/>
        <w:jc w:val="both"/>
        <w:rPr>
          <w:color w:val="000000"/>
          <w:sz w:val="22"/>
          <w:szCs w:val="22"/>
        </w:rPr>
      </w:pPr>
      <w:r>
        <w:rPr>
          <w:color w:val="000000"/>
          <w:sz w:val="22"/>
          <w:szCs w:val="22"/>
        </w:rPr>
        <w:t>nella esecuzione delle verifiche di sicurezza elettrica generali e particolari conformemente a quanto previsto dalle norme CEI generali e particolari di riferimento</w:t>
      </w:r>
    </w:p>
    <w:p w:rsidR="00065EFA" w:rsidRDefault="00A73CA4">
      <w:pPr>
        <w:numPr>
          <w:ilvl w:val="0"/>
          <w:numId w:val="1"/>
        </w:numPr>
        <w:pBdr>
          <w:top w:val="nil"/>
          <w:left w:val="nil"/>
          <w:bottom w:val="nil"/>
          <w:right w:val="nil"/>
          <w:between w:val="nil"/>
        </w:pBdr>
        <w:spacing w:line="276" w:lineRule="auto"/>
        <w:jc w:val="both"/>
        <w:rPr>
          <w:color w:val="000000"/>
          <w:sz w:val="22"/>
          <w:szCs w:val="22"/>
        </w:rPr>
      </w:pPr>
      <w:r>
        <w:rPr>
          <w:color w:val="000000"/>
          <w:sz w:val="22"/>
          <w:szCs w:val="22"/>
        </w:rPr>
        <w:t>l’esecuzione delle prove in campo per la verifica della conformità ai requisiti di benessere ambientale (acustico, climatico e luminoso).</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Il Fornitore dovrà produrre in sede di collaudo la certificazione dell’azienda di produzione attestante la data di fabbricazione, il numero di matricola progressivo e le dichiarazioni di conformità attestanti la rispondenza delle apparecchiature fornita alle vigenti norme di sicurezza.</w:t>
      </w:r>
    </w:p>
    <w:p w:rsidR="00065EFA" w:rsidRDefault="00A73CA4">
      <w:pPr>
        <w:pBdr>
          <w:top w:val="nil"/>
          <w:left w:val="nil"/>
          <w:bottom w:val="nil"/>
          <w:right w:val="nil"/>
          <w:between w:val="nil"/>
        </w:pBdr>
        <w:jc w:val="both"/>
        <w:rPr>
          <w:color w:val="000000"/>
          <w:sz w:val="22"/>
          <w:szCs w:val="22"/>
        </w:rPr>
      </w:pPr>
      <w:r>
        <w:rPr>
          <w:color w:val="000000"/>
          <w:sz w:val="22"/>
          <w:szCs w:val="22"/>
        </w:rPr>
        <w:t>Il Fornitore a proprio carico, dovrà procurare gli eventuali dispositivi/attrezzature/oggetti test che dovessero essere necessari ai fini del collaudo. Tutte le operazioni consigliate nei manuali tecnici si intendono obbligatorie per il Fornitore.</w:t>
      </w:r>
    </w:p>
    <w:p w:rsidR="00065EFA" w:rsidRDefault="00A73CA4">
      <w:pPr>
        <w:pBdr>
          <w:top w:val="nil"/>
          <w:left w:val="nil"/>
          <w:bottom w:val="nil"/>
          <w:right w:val="nil"/>
          <w:between w:val="nil"/>
        </w:pBdr>
        <w:jc w:val="both"/>
        <w:rPr>
          <w:color w:val="000000"/>
          <w:sz w:val="22"/>
          <w:szCs w:val="22"/>
        </w:rPr>
      </w:pPr>
      <w:r>
        <w:rPr>
          <w:color w:val="000000"/>
          <w:sz w:val="22"/>
          <w:szCs w:val="22"/>
        </w:rPr>
        <w:t>La fornitura è da considerarsi collaudata con esito positivo quando tutti i suoi componenti sono collaudati con esito positivo.</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Delle suddette operazioni verrà redatto apposito “verbale di collaudo”, firmato dal Direttore dell’Esecuzione del Contratto (DEC) e controfirmato dal Fornitore. In caso di collaudo positivo, la data del relativo verbale verrà considerata quale “Data di accettazione” della Fornitura. </w:t>
      </w:r>
    </w:p>
    <w:p w:rsidR="00065EFA" w:rsidRDefault="00A73CA4">
      <w:pPr>
        <w:pBdr>
          <w:top w:val="nil"/>
          <w:left w:val="nil"/>
          <w:bottom w:val="nil"/>
          <w:right w:val="nil"/>
          <w:between w:val="nil"/>
        </w:pBdr>
        <w:jc w:val="both"/>
        <w:rPr>
          <w:color w:val="000000"/>
          <w:sz w:val="22"/>
          <w:szCs w:val="22"/>
        </w:rPr>
      </w:pPr>
      <w:r>
        <w:rPr>
          <w:color w:val="000000"/>
          <w:sz w:val="22"/>
          <w:szCs w:val="22"/>
        </w:rPr>
        <w:t>Il verbale dovrà contenere la data e il luogo dell’istruzione del personale (previamente concordato con l’Amministrazione). Il collaudo positivo non esonera comunque il Fornitore per eventuali difetti ed imperfezioni che non siano emersi al momento del collaudo, ma vengano in seguito accertati. Le prove di collaudo devono concludersi entro 5 giorni solari dal loro inizio, salvo diverso accordo con l’Amministrazione.</w:t>
      </w: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Tutti gli oneri sostenuti per la fase di collaudo saranno da considerarsi a carico del Fornitore.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Laddove le apparecchiature o parti di esse non superino le prescritte prove funzionali e diagnostiche, le operazioni verranno ripetute e continuate alle stesse condizioni e modalità, con tutti gli eventuali ulteriori oneri a carico dell’aggiudicatario, fino alla loro conclusione. </w:t>
      </w:r>
    </w:p>
    <w:p w:rsidR="00065EFA" w:rsidRDefault="00A73CA4">
      <w:pPr>
        <w:pBdr>
          <w:top w:val="nil"/>
          <w:left w:val="nil"/>
          <w:bottom w:val="nil"/>
          <w:right w:val="nil"/>
          <w:between w:val="nil"/>
        </w:pBdr>
        <w:jc w:val="both"/>
        <w:rPr>
          <w:color w:val="000000"/>
          <w:sz w:val="22"/>
          <w:szCs w:val="22"/>
        </w:rPr>
      </w:pPr>
      <w:r>
        <w:rPr>
          <w:color w:val="000000"/>
          <w:sz w:val="22"/>
          <w:szCs w:val="22"/>
        </w:rPr>
        <w:t>La ripetizione delle prove deve concludersi entro 10 (dieci) giorni naturali e consecutivi dalla data di chiusura delle prove precedenti</w:t>
      </w:r>
    </w:p>
    <w:p w:rsidR="00065EFA" w:rsidRDefault="00A73CA4">
      <w:pPr>
        <w:pBdr>
          <w:top w:val="nil"/>
          <w:left w:val="nil"/>
          <w:bottom w:val="nil"/>
          <w:right w:val="nil"/>
          <w:between w:val="nil"/>
        </w:pBdr>
        <w:jc w:val="both"/>
        <w:rPr>
          <w:color w:val="000000"/>
          <w:sz w:val="22"/>
          <w:szCs w:val="22"/>
        </w:rPr>
      </w:pPr>
      <w:r>
        <w:rPr>
          <w:color w:val="000000"/>
          <w:sz w:val="22"/>
          <w:szCs w:val="22"/>
        </w:rPr>
        <w:t>Nell’ipotesi in cui anche la ripetizione delle prove di collaudo sortisca esito negativo, l’aggiudicatario dovrà provvedere a ritirare e sostituire l’apparecchiatura e/o le parti di essa risultati non conformi, salva l’applicazione delle penali previste in contratto.</w:t>
      </w:r>
    </w:p>
    <w:p w:rsidR="00065EFA" w:rsidRDefault="00A73CA4">
      <w:pPr>
        <w:pBdr>
          <w:top w:val="nil"/>
          <w:left w:val="nil"/>
          <w:bottom w:val="nil"/>
          <w:right w:val="nil"/>
          <w:between w:val="nil"/>
        </w:pBdr>
        <w:jc w:val="both"/>
        <w:rPr>
          <w:color w:val="000000"/>
          <w:sz w:val="22"/>
          <w:szCs w:val="22"/>
        </w:rPr>
      </w:pPr>
      <w:r>
        <w:rPr>
          <w:color w:val="000000"/>
          <w:sz w:val="22"/>
          <w:szCs w:val="22"/>
        </w:rPr>
        <w:t>Resta salvo il diritto dell’</w:t>
      </w:r>
      <w:proofErr w:type="spellStart"/>
      <w:r>
        <w:rPr>
          <w:color w:val="000000"/>
          <w:sz w:val="22"/>
          <w:szCs w:val="22"/>
        </w:rPr>
        <w:t>Aulss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a seguito di secondo collaudo con esito negativo, di risolvere in tutto o in parte il contratto di fornitura relativamente alle apparecchiature non accettate, fatto salvo l’ulteriore danno.</w:t>
      </w:r>
    </w:p>
    <w:p w:rsidR="00065EFA" w:rsidRDefault="00A73CA4">
      <w:pPr>
        <w:pBdr>
          <w:top w:val="nil"/>
          <w:left w:val="nil"/>
          <w:bottom w:val="nil"/>
          <w:right w:val="nil"/>
          <w:between w:val="nil"/>
        </w:pBdr>
        <w:jc w:val="both"/>
        <w:rPr>
          <w:color w:val="000000"/>
          <w:sz w:val="22"/>
          <w:szCs w:val="22"/>
        </w:rPr>
      </w:pPr>
      <w:r>
        <w:rPr>
          <w:color w:val="000000"/>
          <w:sz w:val="22"/>
          <w:szCs w:val="22"/>
        </w:rPr>
        <w:t>La fornitura di tutte le parti/accessori e del materiale di consumo risulta essere un prerequisito essenziale per l’avvio a regime della strumentazione e quindi per l’esito positivo del collaudo.</w:t>
      </w:r>
    </w:p>
    <w:p w:rsidR="00065EFA" w:rsidRDefault="00A73CA4">
      <w:pPr>
        <w:pBdr>
          <w:top w:val="nil"/>
          <w:left w:val="nil"/>
          <w:bottom w:val="nil"/>
          <w:right w:val="nil"/>
          <w:between w:val="nil"/>
        </w:pBdr>
        <w:shd w:val="clear" w:color="auto" w:fill="FFFFFF"/>
        <w:ind w:left="5" w:right="98"/>
        <w:jc w:val="both"/>
        <w:rPr>
          <w:color w:val="5B9BD5"/>
          <w:sz w:val="22"/>
          <w:szCs w:val="22"/>
        </w:rPr>
      </w:pPr>
      <w:r>
        <w:rPr>
          <w:color w:val="000000"/>
          <w:sz w:val="22"/>
          <w:szCs w:val="22"/>
        </w:rPr>
        <w:t>Tutto il materiale per le eventuali prove necessarie per il collaudo dovrà essere fornito gratuitamente dalla ditta aggiudicataria fino alla messa a punto definitiva del sistema.</w:t>
      </w:r>
    </w:p>
    <w:p w:rsidR="00065EFA" w:rsidRDefault="00065EFA">
      <w:pPr>
        <w:widowControl w:val="0"/>
        <w:pBdr>
          <w:top w:val="nil"/>
          <w:left w:val="nil"/>
          <w:bottom w:val="nil"/>
          <w:right w:val="nil"/>
          <w:between w:val="nil"/>
        </w:pBdr>
        <w:jc w:val="both"/>
        <w:rPr>
          <w:color w:val="FF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ART. 17 ASSISTENZA TECNICA</w:t>
      </w:r>
    </w:p>
    <w:p w:rsidR="00065EFA" w:rsidRDefault="00A73CA4">
      <w:pPr>
        <w:pBdr>
          <w:top w:val="nil"/>
          <w:left w:val="nil"/>
          <w:bottom w:val="nil"/>
          <w:right w:val="nil"/>
          <w:between w:val="nil"/>
        </w:pBdr>
        <w:jc w:val="both"/>
        <w:rPr>
          <w:color w:val="000000"/>
          <w:sz w:val="22"/>
          <w:szCs w:val="22"/>
        </w:rPr>
      </w:pPr>
      <w:r>
        <w:rPr>
          <w:color w:val="000000"/>
          <w:sz w:val="22"/>
          <w:szCs w:val="22"/>
        </w:rPr>
        <w:t>Per tutta la durata del contratto dovrà essere garantita l’assistenza tecnica (full risk) come di seguito indicata.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Per manutenzione ed assistenza tecnica full-risk, si intende:</w:t>
      </w:r>
    </w:p>
    <w:p w:rsidR="00065EFA" w:rsidRDefault="00A73CA4">
      <w:pPr>
        <w:numPr>
          <w:ilvl w:val="0"/>
          <w:numId w:val="7"/>
        </w:numPr>
        <w:pBdr>
          <w:top w:val="nil"/>
          <w:left w:val="nil"/>
          <w:bottom w:val="nil"/>
          <w:right w:val="nil"/>
          <w:between w:val="nil"/>
        </w:pBdr>
        <w:ind w:left="426"/>
        <w:jc w:val="both"/>
        <w:rPr>
          <w:color w:val="000000"/>
          <w:sz w:val="22"/>
          <w:szCs w:val="22"/>
        </w:rPr>
      </w:pPr>
      <w:r>
        <w:rPr>
          <w:color w:val="000000"/>
          <w:sz w:val="22"/>
          <w:szCs w:val="22"/>
        </w:rPr>
        <w:t xml:space="preserve">manutenzione preventiva (con periodicità secondo quanto previsto dal costruttore), </w:t>
      </w:r>
    </w:p>
    <w:p w:rsidR="00065EFA" w:rsidRDefault="00A73CA4">
      <w:pPr>
        <w:numPr>
          <w:ilvl w:val="0"/>
          <w:numId w:val="7"/>
        </w:numPr>
        <w:pBdr>
          <w:top w:val="nil"/>
          <w:left w:val="nil"/>
          <w:bottom w:val="nil"/>
          <w:right w:val="nil"/>
          <w:between w:val="nil"/>
        </w:pBdr>
        <w:ind w:left="426"/>
        <w:jc w:val="both"/>
        <w:rPr>
          <w:color w:val="000000"/>
          <w:sz w:val="22"/>
          <w:szCs w:val="22"/>
        </w:rPr>
      </w:pPr>
      <w:r>
        <w:rPr>
          <w:color w:val="000000"/>
          <w:sz w:val="22"/>
          <w:szCs w:val="22"/>
        </w:rPr>
        <w:t xml:space="preserve">evolutiva (per i sistemi HD e SW dovuta ad adeguamenti normativi nazionali e/o regionali, aggiornamento di versione, </w:t>
      </w:r>
      <w:proofErr w:type="spellStart"/>
      <w:r>
        <w:rPr>
          <w:color w:val="000000"/>
          <w:sz w:val="22"/>
          <w:szCs w:val="22"/>
        </w:rPr>
        <w:t>ecc</w:t>
      </w:r>
      <w:proofErr w:type="spellEnd"/>
      <w:r>
        <w:rPr>
          <w:color w:val="000000"/>
          <w:sz w:val="22"/>
          <w:szCs w:val="22"/>
        </w:rPr>
        <w:t xml:space="preserve">), </w:t>
      </w:r>
    </w:p>
    <w:p w:rsidR="00065EFA" w:rsidRDefault="00A73CA4">
      <w:pPr>
        <w:numPr>
          <w:ilvl w:val="0"/>
          <w:numId w:val="7"/>
        </w:numPr>
        <w:pBdr>
          <w:top w:val="nil"/>
          <w:left w:val="nil"/>
          <w:bottom w:val="nil"/>
          <w:right w:val="nil"/>
          <w:between w:val="nil"/>
        </w:pBdr>
        <w:ind w:left="426"/>
        <w:jc w:val="both"/>
        <w:rPr>
          <w:color w:val="000000"/>
          <w:sz w:val="22"/>
          <w:szCs w:val="22"/>
        </w:rPr>
      </w:pPr>
      <w:r>
        <w:rPr>
          <w:color w:val="000000"/>
          <w:sz w:val="22"/>
          <w:szCs w:val="22"/>
        </w:rPr>
        <w:t>correttiva (in seguito a guasti o malfunzionamenti), parti di ricambio incluse e numero di interventi illimitati, controlli qualità e verifica periodica di sicurezza elettrica (almeno con cadenza annuale) e dopo ogni intervento di riparazione secondo quanto previsto dalla norma europea CEI EN 62353 “</w:t>
      </w:r>
      <w:proofErr w:type="spellStart"/>
      <w:r>
        <w:rPr>
          <w:color w:val="000000"/>
          <w:sz w:val="22"/>
          <w:szCs w:val="22"/>
        </w:rPr>
        <w:t>Recurrent</w:t>
      </w:r>
      <w:proofErr w:type="spellEnd"/>
      <w:r>
        <w:rPr>
          <w:color w:val="000000"/>
          <w:sz w:val="22"/>
          <w:szCs w:val="22"/>
        </w:rPr>
        <w:t xml:space="preserve"> test and test </w:t>
      </w:r>
      <w:proofErr w:type="spellStart"/>
      <w:r>
        <w:rPr>
          <w:color w:val="000000"/>
          <w:sz w:val="22"/>
          <w:szCs w:val="22"/>
        </w:rPr>
        <w:t>after</w:t>
      </w:r>
      <w:proofErr w:type="spellEnd"/>
      <w:r>
        <w:rPr>
          <w:color w:val="000000"/>
          <w:sz w:val="22"/>
          <w:szCs w:val="22"/>
        </w:rPr>
        <w:t xml:space="preserve"> </w:t>
      </w:r>
      <w:proofErr w:type="spellStart"/>
      <w:r>
        <w:rPr>
          <w:color w:val="000000"/>
          <w:sz w:val="22"/>
          <w:szCs w:val="22"/>
        </w:rPr>
        <w:t>repair</w:t>
      </w:r>
      <w:proofErr w:type="spellEnd"/>
      <w:r>
        <w:rPr>
          <w:color w:val="000000"/>
          <w:sz w:val="22"/>
          <w:szCs w:val="22"/>
        </w:rPr>
        <w:t xml:space="preserve"> of </w:t>
      </w:r>
      <w:proofErr w:type="spellStart"/>
      <w:r>
        <w:rPr>
          <w:color w:val="000000"/>
          <w:sz w:val="22"/>
          <w:szCs w:val="22"/>
        </w:rPr>
        <w:t>Medical</w:t>
      </w:r>
      <w:proofErr w:type="spellEnd"/>
      <w:r>
        <w:rPr>
          <w:color w:val="000000"/>
          <w:sz w:val="22"/>
          <w:szCs w:val="22"/>
        </w:rPr>
        <w:t xml:space="preserve"> </w:t>
      </w:r>
      <w:proofErr w:type="spellStart"/>
      <w:r>
        <w:rPr>
          <w:color w:val="000000"/>
          <w:sz w:val="22"/>
          <w:szCs w:val="22"/>
        </w:rPr>
        <w:t>Electrical</w:t>
      </w:r>
      <w:proofErr w:type="spellEnd"/>
      <w:r>
        <w:rPr>
          <w:color w:val="000000"/>
          <w:sz w:val="22"/>
          <w:szCs w:val="22"/>
        </w:rPr>
        <w:t xml:space="preserve"> equipment” (corrispondente alla norma italiana CEI 62-148) ed ogni altra richiesta di verifica funzionale richiesta dal personale utilizzatore o dall’Ufficio Ingegneria Clinica.</w:t>
      </w:r>
    </w:p>
    <w:p w:rsidR="00065EFA" w:rsidRDefault="00065EFA">
      <w:pPr>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 Ditta dovrà, inoltre, garantire la reperibilità delle parti di ricambio e accessori di ogni componente dell’attrezzatura per almeno un decennio dalla data di installazione anche se richiesti da terzi manutentori per conto delle Aziende sanitarie, dichiarando i relativi tempi massimi di fornitura. </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La ditta aggiudicataria provvederà a proprie spese ad eliminare gli inconvenienti e/o ad introdurre le eventuali funzionalità mancanti rispetto ai vincoli indicati nel presente Disciplinare.</w:t>
      </w:r>
    </w:p>
    <w:p w:rsidR="00065EFA" w:rsidRDefault="00A73CA4">
      <w:pPr>
        <w:pBdr>
          <w:top w:val="nil"/>
          <w:left w:val="nil"/>
          <w:bottom w:val="nil"/>
          <w:right w:val="nil"/>
          <w:between w:val="nil"/>
        </w:pBdr>
        <w:jc w:val="both"/>
        <w:rPr>
          <w:color w:val="000000"/>
          <w:sz w:val="22"/>
          <w:szCs w:val="22"/>
        </w:rPr>
      </w:pPr>
      <w:r>
        <w:rPr>
          <w:color w:val="000000"/>
          <w:sz w:val="22"/>
          <w:szCs w:val="22"/>
        </w:rPr>
        <w:t>L’assistenza e la manutenzione dovranno essere garantite per ogni modulo componente offerto.</w:t>
      </w:r>
    </w:p>
    <w:p w:rsidR="00065EFA" w:rsidRDefault="00A73CA4">
      <w:pPr>
        <w:pBdr>
          <w:top w:val="nil"/>
          <w:left w:val="nil"/>
          <w:bottom w:val="nil"/>
          <w:right w:val="nil"/>
          <w:between w:val="nil"/>
        </w:pBdr>
        <w:jc w:val="both"/>
        <w:rPr>
          <w:color w:val="000000"/>
          <w:sz w:val="22"/>
          <w:szCs w:val="22"/>
        </w:rPr>
      </w:pPr>
      <w:r>
        <w:rPr>
          <w:color w:val="000000"/>
          <w:sz w:val="22"/>
          <w:szCs w:val="22"/>
        </w:rPr>
        <w:t>La piena e completa assistenza tecnica e manutentiva della strumentazione ceduta in uso comprende la fornitura e la sostituzione di tutti i pezzi di ricambio occorrenti per garantirne il miglior funzionamento, nonché i prodotti d’uso per consentire tutte le prestazioni proprie della strumentazione e la fornitura in caso di specifica richiesta motivata di una o più apparecchiature di scorta.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L’Assistenza e il supporto tecnico dovranno essere prestati anche telefonicamente. A tal proposito dovranno essere predisposti da parte della ditta adeguati strumenti di “</w:t>
      </w:r>
      <w:proofErr w:type="spellStart"/>
      <w:r>
        <w:rPr>
          <w:color w:val="000000"/>
          <w:sz w:val="22"/>
          <w:szCs w:val="22"/>
        </w:rPr>
        <w:t>contact</w:t>
      </w:r>
      <w:proofErr w:type="spellEnd"/>
      <w:r>
        <w:rPr>
          <w:color w:val="000000"/>
          <w:sz w:val="22"/>
          <w:szCs w:val="22"/>
        </w:rPr>
        <w:t xml:space="preserve"> center” e/o “call center” con personale qualificato in grado di gestire nel più breve tempo possibile le problematiche esposte dal richiedente.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La manutenzione dovrà coprire la riparazione e/o la sostituzione a titolo gratuito, senza nulla escluso, di tutte le parti di ricambio e quant’altro necessario per il perfetto funzionamento dell’apparecchiatura fornita.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Il servizio di manutenzione preventiva</w:t>
      </w:r>
      <w:r>
        <w:rPr>
          <w:color w:val="000000"/>
          <w:sz w:val="22"/>
          <w:szCs w:val="22"/>
        </w:rPr>
        <w:t xml:space="preserve"> dovrà essere tale da consentire di mantenere i massimi livelli prestazionali attraverso le seguenti fasi:</w:t>
      </w:r>
    </w:p>
    <w:p w:rsidR="00065EFA" w:rsidRDefault="00A73CA4">
      <w:pPr>
        <w:numPr>
          <w:ilvl w:val="0"/>
          <w:numId w:val="6"/>
        </w:numPr>
        <w:pBdr>
          <w:top w:val="nil"/>
          <w:left w:val="nil"/>
          <w:bottom w:val="nil"/>
          <w:right w:val="nil"/>
          <w:between w:val="nil"/>
        </w:pBdr>
        <w:jc w:val="both"/>
        <w:rPr>
          <w:color w:val="000000"/>
          <w:sz w:val="22"/>
          <w:szCs w:val="22"/>
        </w:rPr>
      </w:pPr>
      <w:r>
        <w:rPr>
          <w:color w:val="000000"/>
          <w:sz w:val="22"/>
          <w:szCs w:val="22"/>
        </w:rPr>
        <w:t>manutenzione generale: visite di manutenzione preventiva comprensive di tarature e prove funzionali, come consigliato dalla casa costruttrice</w:t>
      </w:r>
    </w:p>
    <w:p w:rsidR="00065EFA" w:rsidRDefault="00A73CA4">
      <w:pPr>
        <w:numPr>
          <w:ilvl w:val="0"/>
          <w:numId w:val="6"/>
        </w:numPr>
        <w:pBdr>
          <w:top w:val="nil"/>
          <w:left w:val="nil"/>
          <w:bottom w:val="nil"/>
          <w:right w:val="nil"/>
          <w:between w:val="nil"/>
        </w:pBdr>
        <w:jc w:val="both"/>
        <w:rPr>
          <w:color w:val="000000"/>
          <w:sz w:val="22"/>
          <w:szCs w:val="22"/>
        </w:rPr>
      </w:pPr>
      <w:r>
        <w:rPr>
          <w:color w:val="000000"/>
          <w:sz w:val="22"/>
          <w:szCs w:val="22"/>
        </w:rPr>
        <w:lastRenderedPageBreak/>
        <w:t>verifiche di sicurezza</w:t>
      </w:r>
    </w:p>
    <w:p w:rsidR="00065EFA" w:rsidRDefault="00A73CA4">
      <w:pPr>
        <w:numPr>
          <w:ilvl w:val="0"/>
          <w:numId w:val="6"/>
        </w:numPr>
        <w:pBdr>
          <w:top w:val="nil"/>
          <w:left w:val="nil"/>
          <w:bottom w:val="nil"/>
          <w:right w:val="nil"/>
          <w:between w:val="nil"/>
        </w:pBdr>
        <w:jc w:val="both"/>
        <w:rPr>
          <w:color w:val="000000"/>
          <w:sz w:val="22"/>
          <w:szCs w:val="22"/>
        </w:rPr>
      </w:pPr>
      <w:r>
        <w:rPr>
          <w:color w:val="000000"/>
          <w:sz w:val="22"/>
          <w:szCs w:val="22"/>
        </w:rPr>
        <w:t xml:space="preserve">sostituzione parti difettose, compresa fornitura di tutti i ricambi e parti usurabili che necessitano di sostituzione </w:t>
      </w:r>
    </w:p>
    <w:p w:rsidR="00065EFA" w:rsidRDefault="00A73CA4">
      <w:pPr>
        <w:numPr>
          <w:ilvl w:val="0"/>
          <w:numId w:val="6"/>
        </w:numPr>
        <w:pBdr>
          <w:top w:val="nil"/>
          <w:left w:val="nil"/>
          <w:bottom w:val="nil"/>
          <w:right w:val="nil"/>
          <w:between w:val="nil"/>
        </w:pBdr>
        <w:jc w:val="both"/>
        <w:rPr>
          <w:color w:val="000000"/>
          <w:sz w:val="22"/>
          <w:szCs w:val="22"/>
        </w:rPr>
      </w:pPr>
      <w:r>
        <w:rPr>
          <w:color w:val="000000"/>
          <w:sz w:val="22"/>
          <w:szCs w:val="22"/>
        </w:rPr>
        <w:t>possibilità di monitoraggio e assistenza da remoto</w:t>
      </w:r>
    </w:p>
    <w:p w:rsidR="00065EFA" w:rsidRDefault="00A73CA4">
      <w:pPr>
        <w:pBdr>
          <w:top w:val="nil"/>
          <w:left w:val="nil"/>
          <w:bottom w:val="nil"/>
          <w:right w:val="nil"/>
          <w:between w:val="nil"/>
        </w:pBdr>
        <w:jc w:val="both"/>
        <w:rPr>
          <w:color w:val="000000"/>
          <w:sz w:val="22"/>
          <w:szCs w:val="22"/>
        </w:rPr>
      </w:pPr>
      <w:r>
        <w:rPr>
          <w:color w:val="000000"/>
          <w:sz w:val="22"/>
          <w:szCs w:val="22"/>
        </w:rPr>
        <w:t>Il calendario delle singole visite di manutenzione periodica sarà comunicato con congruo anticipo al responsabile del Servizio di Ingegneria Clinica aziendale.</w:t>
      </w:r>
    </w:p>
    <w:p w:rsidR="00065EFA" w:rsidRDefault="00A73CA4">
      <w:pPr>
        <w:pBdr>
          <w:top w:val="nil"/>
          <w:left w:val="nil"/>
          <w:bottom w:val="nil"/>
          <w:right w:val="nil"/>
          <w:between w:val="nil"/>
        </w:pBdr>
        <w:jc w:val="both"/>
        <w:rPr>
          <w:color w:val="000000"/>
          <w:sz w:val="22"/>
          <w:szCs w:val="22"/>
        </w:rPr>
      </w:pPr>
      <w:r>
        <w:rPr>
          <w:color w:val="000000"/>
          <w:sz w:val="22"/>
          <w:szCs w:val="22"/>
        </w:rPr>
        <w:t>Dopo aver eseguito ciascun intervento manutentivo, la Ditta provvederà a consegnare al Servizio di Ingegneria clinica i certificati attestanti l’avvenuta esecuzione dell’intervento.</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color w:val="000000"/>
          <w:sz w:val="22"/>
          <w:szCs w:val="22"/>
        </w:rPr>
        <w:t>Il Servizio di manutenzione straordinaria</w:t>
      </w:r>
      <w:r>
        <w:rPr>
          <w:color w:val="000000"/>
          <w:sz w:val="22"/>
          <w:szCs w:val="22"/>
        </w:rPr>
        <w:t xml:space="preserve"> dovrà essere in grado di consentire di porre rimedio ad occasionali problemi tecnici. Dovrà essere garantita l’esecuzione dell’intervento di ripristino della piena funzionalità delle apparecchiature con le seguenti condizioni di minima:</w:t>
      </w:r>
    </w:p>
    <w:p w:rsidR="00065EFA" w:rsidRDefault="00A73CA4">
      <w:pPr>
        <w:numPr>
          <w:ilvl w:val="0"/>
          <w:numId w:val="5"/>
        </w:numPr>
        <w:pBdr>
          <w:top w:val="nil"/>
          <w:left w:val="nil"/>
          <w:bottom w:val="nil"/>
          <w:right w:val="nil"/>
          <w:between w:val="nil"/>
        </w:pBdr>
        <w:jc w:val="both"/>
        <w:rPr>
          <w:color w:val="000000"/>
          <w:sz w:val="22"/>
          <w:szCs w:val="22"/>
        </w:rPr>
      </w:pPr>
      <w:r>
        <w:rPr>
          <w:color w:val="000000"/>
          <w:sz w:val="22"/>
          <w:szCs w:val="22"/>
        </w:rPr>
        <w:t>tipo “full risk”, come precisato nel presente articolo;</w:t>
      </w:r>
    </w:p>
    <w:p w:rsidR="00065EFA" w:rsidRDefault="00A73CA4">
      <w:pPr>
        <w:numPr>
          <w:ilvl w:val="0"/>
          <w:numId w:val="5"/>
        </w:numPr>
        <w:pBdr>
          <w:top w:val="nil"/>
          <w:left w:val="nil"/>
          <w:bottom w:val="nil"/>
          <w:right w:val="nil"/>
          <w:between w:val="nil"/>
        </w:pBdr>
        <w:jc w:val="both"/>
        <w:rPr>
          <w:color w:val="000000"/>
          <w:sz w:val="22"/>
          <w:szCs w:val="22"/>
        </w:rPr>
      </w:pPr>
      <w:r>
        <w:rPr>
          <w:color w:val="000000"/>
          <w:sz w:val="22"/>
          <w:szCs w:val="22"/>
        </w:rPr>
        <w:t>tempo massimo di intervento garantito in caso di chiamata per guasto tecnico bloccante (cioè macchina non utilizzabile) = 8 ore lavorative e consecutive dalla chiamata, escluso i giorni festivi di calendario;</w:t>
      </w:r>
    </w:p>
    <w:p w:rsidR="00065EFA" w:rsidRDefault="00A73CA4">
      <w:pPr>
        <w:numPr>
          <w:ilvl w:val="0"/>
          <w:numId w:val="5"/>
        </w:numPr>
        <w:pBdr>
          <w:top w:val="nil"/>
          <w:left w:val="nil"/>
          <w:bottom w:val="nil"/>
          <w:right w:val="nil"/>
          <w:between w:val="nil"/>
        </w:pBdr>
        <w:jc w:val="both"/>
        <w:rPr>
          <w:color w:val="000000"/>
          <w:sz w:val="22"/>
          <w:szCs w:val="22"/>
        </w:rPr>
      </w:pPr>
      <w:r>
        <w:rPr>
          <w:color w:val="000000"/>
          <w:sz w:val="22"/>
          <w:szCs w:val="22"/>
        </w:rPr>
        <w:t>tempo massimo di intervento garantito in caso di chiamata per guasto tecnico non bloccante (cioè macchina utilizzabile) = 16 ore lavorative e consecutive dalla chiamata, escluso i giorni festivi di calendario;</w:t>
      </w:r>
    </w:p>
    <w:p w:rsidR="00065EFA" w:rsidRDefault="00A73CA4">
      <w:pPr>
        <w:numPr>
          <w:ilvl w:val="0"/>
          <w:numId w:val="5"/>
        </w:numPr>
        <w:pBdr>
          <w:top w:val="nil"/>
          <w:left w:val="nil"/>
          <w:bottom w:val="nil"/>
          <w:right w:val="nil"/>
          <w:between w:val="nil"/>
        </w:pBdr>
        <w:jc w:val="both"/>
        <w:rPr>
          <w:color w:val="000000"/>
          <w:sz w:val="22"/>
          <w:szCs w:val="22"/>
        </w:rPr>
      </w:pPr>
      <w:r>
        <w:rPr>
          <w:color w:val="000000"/>
          <w:sz w:val="22"/>
          <w:szCs w:val="22"/>
        </w:rPr>
        <w:t>tempo massimo di risoluzione garantito dall’inizio dell’intervento per guasto tecnico bloccante e non bloccante = 16 ore lavorative (cioè macchina ferma al max. 2 giorni lavorativi dall’inizio intervento), escluso i giorni festivi di calendario;</w:t>
      </w:r>
    </w:p>
    <w:p w:rsidR="00065EFA" w:rsidRDefault="00A73CA4">
      <w:pPr>
        <w:numPr>
          <w:ilvl w:val="0"/>
          <w:numId w:val="5"/>
        </w:numPr>
        <w:pBdr>
          <w:top w:val="nil"/>
          <w:left w:val="nil"/>
          <w:bottom w:val="nil"/>
          <w:right w:val="nil"/>
          <w:between w:val="nil"/>
        </w:pBdr>
        <w:jc w:val="both"/>
        <w:rPr>
          <w:color w:val="000000"/>
          <w:sz w:val="22"/>
          <w:szCs w:val="22"/>
        </w:rPr>
      </w:pPr>
      <w:r>
        <w:rPr>
          <w:color w:val="000000"/>
          <w:sz w:val="22"/>
          <w:szCs w:val="22"/>
        </w:rPr>
        <w:t>interventi di manutenzione evolutiva sul software riguardanti adeguamenti a normative regionali e nazionali: dovranno essere realizzati entro 15 gg. dall’emanazione della normativa e comunque garantiti entro l’entrata in vigore della normativa stessa.</w:t>
      </w:r>
    </w:p>
    <w:p w:rsidR="00065EFA" w:rsidRDefault="00A73CA4">
      <w:pPr>
        <w:pBdr>
          <w:top w:val="nil"/>
          <w:left w:val="nil"/>
          <w:bottom w:val="nil"/>
          <w:right w:val="nil"/>
          <w:between w:val="nil"/>
        </w:pBdr>
        <w:jc w:val="both"/>
        <w:rPr>
          <w:color w:val="000000"/>
          <w:sz w:val="22"/>
          <w:szCs w:val="22"/>
        </w:rPr>
      </w:pPr>
      <w:r>
        <w:rPr>
          <w:color w:val="000000"/>
          <w:sz w:val="22"/>
          <w:szCs w:val="22"/>
        </w:rPr>
        <w:t>La Ditta dovrà fornire garanzie tecnologiche di primissimo livello sia dal punto di vista elettronico ed informatico che da quello meccanico e della sua manutenzione.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Si richiede di dettagliare in sede di offerta, nel piano per il servizio di assistenza e manutenzione, in base alle richieste del presente Disciplinare le caratteristiche in termini di modalità e di tempi con cui la Ditta offerente intende prestare servizio di assistenza e manutenzione. In particolare si richiede di indicare: modalità del servizio, sede del servizio, organico e personale, </w:t>
      </w:r>
      <w:proofErr w:type="spellStart"/>
      <w:r>
        <w:rPr>
          <w:color w:val="000000"/>
          <w:sz w:val="22"/>
          <w:szCs w:val="22"/>
        </w:rPr>
        <w:t>helpdesk</w:t>
      </w:r>
      <w:proofErr w:type="spellEnd"/>
      <w:r>
        <w:rPr>
          <w:color w:val="000000"/>
          <w:sz w:val="22"/>
          <w:szCs w:val="22"/>
        </w:rPr>
        <w:t xml:space="preserve"> telefonico, teleassistenza, servizio e-mail di supporto, servizio di mailing list, servizi web con accesso a FAQ, ecc.</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servizio di manutenzione e assistenza tecnica deve garantire la tracciabilità completa di tipo informatico ai fini della certificazione, l’assistenza in loco anche nei giorni prefestivi, supporto telefonico dal lunedì al sabato non festivi e supporto online sulla strumentazione tramite connessione </w:t>
      </w:r>
      <w:proofErr w:type="spellStart"/>
      <w:r>
        <w:rPr>
          <w:color w:val="000000"/>
          <w:sz w:val="22"/>
          <w:szCs w:val="22"/>
        </w:rPr>
        <w:t>vpn</w:t>
      </w:r>
      <w:proofErr w:type="spellEnd"/>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Superati i tempi sopra definiti saranno applicate le penalità di cui al corrispondente articolo 21 del Disciplinare.</w:t>
      </w:r>
    </w:p>
    <w:p w:rsidR="00065EFA" w:rsidRDefault="00A73CA4">
      <w:pPr>
        <w:pBdr>
          <w:top w:val="nil"/>
          <w:left w:val="nil"/>
          <w:bottom w:val="nil"/>
          <w:right w:val="nil"/>
          <w:between w:val="nil"/>
        </w:pBdr>
        <w:jc w:val="both"/>
        <w:rPr>
          <w:color w:val="000000"/>
          <w:sz w:val="22"/>
          <w:szCs w:val="22"/>
        </w:rPr>
      </w:pPr>
      <w:r>
        <w:rPr>
          <w:color w:val="000000"/>
          <w:sz w:val="22"/>
          <w:szCs w:val="22"/>
        </w:rPr>
        <w:t>La manutenzione dovrà prevedere obbligatoriamente, oltre a quanto sopra indicato, gli aggiornamenti alla documentazione e alla manualistica in merito alle correzioni apportate ed agli interventi effettuati.</w:t>
      </w:r>
    </w:p>
    <w:p w:rsidR="00065EFA" w:rsidRDefault="00065EFA">
      <w:pPr>
        <w:pBdr>
          <w:top w:val="nil"/>
          <w:left w:val="nil"/>
          <w:bottom w:val="nil"/>
          <w:right w:val="nil"/>
          <w:between w:val="nil"/>
        </w:pBdr>
        <w:jc w:val="both"/>
        <w:rPr>
          <w:color w:val="000000"/>
          <w:sz w:val="22"/>
          <w:szCs w:val="22"/>
        </w:rPr>
      </w:pPr>
      <w:bookmarkStart w:id="9" w:name="_heading=h.5ly3mkttrmvg" w:colFirst="0" w:colLast="0"/>
      <w:bookmarkEnd w:id="9"/>
    </w:p>
    <w:p w:rsidR="00065EFA" w:rsidRDefault="00A73CA4">
      <w:pPr>
        <w:pBdr>
          <w:top w:val="nil"/>
          <w:left w:val="nil"/>
          <w:bottom w:val="nil"/>
          <w:right w:val="nil"/>
          <w:between w:val="nil"/>
        </w:pBdr>
        <w:rPr>
          <w:color w:val="000000"/>
          <w:sz w:val="22"/>
          <w:szCs w:val="22"/>
        </w:rPr>
      </w:pPr>
      <w:bookmarkStart w:id="10" w:name="_heading=h.3yrzxvp62cn8" w:colFirst="0" w:colLast="0"/>
      <w:bookmarkEnd w:id="10"/>
      <w:r>
        <w:rPr>
          <w:b/>
          <w:bCs/>
          <w:color w:val="000000"/>
          <w:sz w:val="22"/>
          <w:szCs w:val="22"/>
        </w:rPr>
        <w:t>Art. 18 INNOVAZIONE NORMATIVA</w:t>
      </w:r>
    </w:p>
    <w:p w:rsidR="00065EFA" w:rsidRDefault="00A73CA4">
      <w:pPr>
        <w:pBdr>
          <w:top w:val="nil"/>
          <w:left w:val="nil"/>
          <w:bottom w:val="nil"/>
          <w:right w:val="nil"/>
          <w:between w:val="nil"/>
        </w:pBdr>
        <w:jc w:val="both"/>
        <w:rPr>
          <w:color w:val="000000"/>
          <w:sz w:val="22"/>
          <w:szCs w:val="22"/>
        </w:rPr>
      </w:pPr>
      <w:r>
        <w:rPr>
          <w:color w:val="000000"/>
          <w:sz w:val="22"/>
          <w:szCs w:val="22"/>
        </w:rPr>
        <w:t>Nell’ipotesi in cui le Autorità competenti o il fabbricante dispongano il divieto di vendita e il ritiro di un prodotto dal commercio, per salvaguardare la salute pubblica da situazioni di rischio e pericolosità, il venditore è obbligato, a propria cura e spese, al ritiro del prodotto nel termine di 20 giorni dalla data del provvedimento di ritiro.</w:t>
      </w:r>
    </w:p>
    <w:p w:rsidR="00065EFA" w:rsidRDefault="00A73CA4">
      <w:pPr>
        <w:pBdr>
          <w:top w:val="nil"/>
          <w:left w:val="nil"/>
          <w:bottom w:val="nil"/>
          <w:right w:val="nil"/>
          <w:between w:val="nil"/>
        </w:pBdr>
        <w:jc w:val="both"/>
        <w:rPr>
          <w:color w:val="000000"/>
          <w:sz w:val="22"/>
          <w:szCs w:val="22"/>
        </w:rPr>
      </w:pPr>
      <w:r>
        <w:rPr>
          <w:color w:val="000000"/>
          <w:sz w:val="22"/>
          <w:szCs w:val="22"/>
        </w:rPr>
        <w:t>In particolare, qualora nel corso della validità del contratto, si verificasse l’emanazione di direttive nazionali o comunitarie per quanto attiene le autorizzazioni alla produzione, importazione ed immissione in commercio, il fornitore è tenuto a conformare la qualità dei prodotti forniti alla sopravvenuta disposizione, senza alcun aumento di prezzo nonché a sostituire a proprio onere e spese, qualora ne fosse vietato l’uso, le eventuali rimanenze di prodotto non conforme eventualmente giacenti presso gli enti.</w:t>
      </w:r>
    </w:p>
    <w:p w:rsidR="00065EFA" w:rsidRDefault="00A73CA4">
      <w:pPr>
        <w:pBdr>
          <w:top w:val="nil"/>
          <w:left w:val="nil"/>
          <w:bottom w:val="nil"/>
          <w:right w:val="nil"/>
          <w:between w:val="nil"/>
        </w:pBdr>
        <w:jc w:val="both"/>
        <w:rPr>
          <w:color w:val="000000"/>
          <w:sz w:val="22"/>
          <w:szCs w:val="22"/>
        </w:rPr>
      </w:pPr>
      <w:r>
        <w:rPr>
          <w:color w:val="000000"/>
          <w:sz w:val="22"/>
          <w:szCs w:val="22"/>
        </w:rPr>
        <w:t>Inoltre, il fornitore è tenuto a rinnovare e trasmettere le certificazioni (sistema qualità, conformità e CE) nel caso dovessero scadere durante la durata della fornitura (comprensiva di eventuali rinnovi e proroghe tecniche).</w:t>
      </w:r>
    </w:p>
    <w:p w:rsidR="00065EFA" w:rsidRDefault="00065EFA">
      <w:pPr>
        <w:pBdr>
          <w:top w:val="nil"/>
          <w:left w:val="nil"/>
          <w:bottom w:val="nil"/>
          <w:right w:val="nil"/>
          <w:between w:val="nil"/>
        </w:pBdr>
        <w:jc w:val="both"/>
        <w:rPr>
          <w:color w:val="000000"/>
          <w:sz w:val="22"/>
          <w:szCs w:val="22"/>
        </w:rPr>
      </w:pPr>
      <w:bookmarkStart w:id="11" w:name="_heading=h.7di0chumab1y" w:colFirst="0" w:colLast="0"/>
      <w:bookmarkEnd w:id="11"/>
    </w:p>
    <w:p w:rsidR="00065EFA" w:rsidRDefault="00A73CA4">
      <w:pPr>
        <w:pBdr>
          <w:top w:val="nil"/>
          <w:left w:val="nil"/>
          <w:bottom w:val="nil"/>
          <w:right w:val="nil"/>
          <w:between w:val="nil"/>
        </w:pBdr>
        <w:tabs>
          <w:tab w:val="center" w:pos="1258"/>
          <w:tab w:val="center" w:pos="2384"/>
          <w:tab w:val="center" w:pos="3086"/>
          <w:tab w:val="center" w:pos="4011"/>
          <w:tab w:val="center" w:pos="4869"/>
          <w:tab w:val="center" w:pos="5841"/>
          <w:tab w:val="center" w:pos="6690"/>
          <w:tab w:val="right" w:pos="7891"/>
        </w:tabs>
        <w:rPr>
          <w:color w:val="000000"/>
          <w:sz w:val="22"/>
          <w:szCs w:val="22"/>
        </w:rPr>
      </w:pPr>
      <w:bookmarkStart w:id="12" w:name="_heading=h.hi1z1he2mhw8" w:colFirst="0" w:colLast="0"/>
      <w:bookmarkEnd w:id="12"/>
      <w:r>
        <w:rPr>
          <w:b/>
          <w:bCs/>
          <w:color w:val="000000"/>
          <w:sz w:val="22"/>
          <w:szCs w:val="22"/>
        </w:rPr>
        <w:lastRenderedPageBreak/>
        <w:t>ART. 19 FORMAZIONE DEL PERSONALE E AFFIANCAMENTO DA PARTE DEL PERSONALE DELLA DITTA</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fornitore dovrà tenere un corso di formazione al personale tecnico e di laboratorio con il fine di acquisire informazioni e operatività dello strumento. Il programma dei corsi sarà articolato a partire dalle nozioni generali fino alle operazioni pratiche e alla formazione su software per la gestione della fornitura. </w:t>
      </w:r>
    </w:p>
    <w:p w:rsidR="00065EFA" w:rsidRDefault="00A73CA4">
      <w:pPr>
        <w:pBdr>
          <w:top w:val="nil"/>
          <w:left w:val="nil"/>
          <w:bottom w:val="nil"/>
          <w:right w:val="nil"/>
          <w:between w:val="nil"/>
        </w:pBdr>
        <w:jc w:val="both"/>
        <w:rPr>
          <w:color w:val="000000"/>
          <w:sz w:val="22"/>
          <w:szCs w:val="22"/>
        </w:rPr>
      </w:pPr>
      <w:r>
        <w:rPr>
          <w:color w:val="000000"/>
          <w:sz w:val="22"/>
          <w:szCs w:val="22"/>
        </w:rPr>
        <w:t>Il corso sarà svolto a cura e spese da parte del fornitore, interamente compensato dal prezzo della fornitura e dei servizi annessi oggetto del presente appalto, il Direttore dell’Unità operativa stabilirà il personale da avviare alla formazione e concorderà con la ditta il numero degli operatori interessati al corso di formazione.</w:t>
      </w:r>
    </w:p>
    <w:p w:rsidR="00065EFA" w:rsidRDefault="00A73CA4">
      <w:pPr>
        <w:pBdr>
          <w:top w:val="nil"/>
          <w:left w:val="nil"/>
          <w:bottom w:val="nil"/>
          <w:right w:val="nil"/>
          <w:between w:val="nil"/>
        </w:pBdr>
        <w:rPr>
          <w:color w:val="000000"/>
          <w:sz w:val="22"/>
          <w:szCs w:val="22"/>
        </w:rPr>
      </w:pPr>
      <w:r>
        <w:rPr>
          <w:color w:val="000000"/>
          <w:sz w:val="22"/>
          <w:szCs w:val="22"/>
        </w:rPr>
        <w:t xml:space="preserve">Il contenuto minimo e la durata di riferimento dei corsi saranno concordati. Oltre alla lezione frontale dovrà essere assicurato la consegna ai partecipanti di materiale didattico. </w:t>
      </w:r>
    </w:p>
    <w:p w:rsidR="00065EFA" w:rsidRDefault="00A73CA4">
      <w:pPr>
        <w:pBdr>
          <w:top w:val="nil"/>
          <w:left w:val="nil"/>
          <w:bottom w:val="nil"/>
          <w:right w:val="nil"/>
          <w:between w:val="nil"/>
        </w:pBdr>
        <w:jc w:val="both"/>
        <w:rPr>
          <w:color w:val="000000"/>
          <w:sz w:val="22"/>
          <w:szCs w:val="22"/>
        </w:rPr>
      </w:pPr>
      <w:r>
        <w:rPr>
          <w:color w:val="000000"/>
          <w:sz w:val="22"/>
          <w:szCs w:val="22"/>
        </w:rPr>
        <w:t>Il calendario dei corsi di formazione dovrà essere comunque concordato ed approvato dal Direttore dell’Unità operativa.</w:t>
      </w:r>
    </w:p>
    <w:p w:rsidR="00065EFA" w:rsidRDefault="00A73CA4">
      <w:pPr>
        <w:pBdr>
          <w:top w:val="nil"/>
          <w:left w:val="nil"/>
          <w:bottom w:val="nil"/>
          <w:right w:val="nil"/>
          <w:between w:val="nil"/>
        </w:pBdr>
        <w:jc w:val="both"/>
        <w:rPr>
          <w:color w:val="000000"/>
          <w:sz w:val="22"/>
          <w:szCs w:val="22"/>
        </w:rPr>
      </w:pPr>
      <w:r>
        <w:rPr>
          <w:color w:val="000000"/>
          <w:sz w:val="22"/>
          <w:szCs w:val="22"/>
        </w:rPr>
        <w:t>La Ditta dovrà assicurare, a proprie spese, la formazione del personale medico, sanitario e tecnico addetto alla fornitura, comprendente:</w:t>
      </w:r>
    </w:p>
    <w:p w:rsidR="00065EFA" w:rsidRDefault="00A73CA4">
      <w:pPr>
        <w:widowControl w:val="0"/>
        <w:numPr>
          <w:ilvl w:val="0"/>
          <w:numId w:val="8"/>
        </w:numPr>
        <w:pBdr>
          <w:top w:val="nil"/>
          <w:left w:val="nil"/>
          <w:bottom w:val="nil"/>
          <w:right w:val="nil"/>
          <w:between w:val="nil"/>
        </w:pBdr>
        <w:jc w:val="both"/>
        <w:rPr>
          <w:color w:val="000000"/>
          <w:sz w:val="22"/>
          <w:szCs w:val="22"/>
        </w:rPr>
      </w:pPr>
      <w:r>
        <w:rPr>
          <w:color w:val="000000"/>
          <w:sz w:val="22"/>
          <w:szCs w:val="22"/>
        </w:rPr>
        <w:t>Istruzione iniziale per il corretto utilizzo dell’apparecchiatura e, istruzione per la soluzione autonoma degli inconvenienti più frequenti, mediante corsi di formazione e materiale didattico, compresi eventuali aggiornamenti.</w:t>
      </w:r>
    </w:p>
    <w:p w:rsidR="00065EFA" w:rsidRDefault="00A73CA4">
      <w:pPr>
        <w:widowControl w:val="0"/>
        <w:numPr>
          <w:ilvl w:val="0"/>
          <w:numId w:val="8"/>
        </w:numPr>
        <w:pBdr>
          <w:top w:val="nil"/>
          <w:left w:val="nil"/>
          <w:bottom w:val="nil"/>
          <w:right w:val="nil"/>
          <w:between w:val="nil"/>
        </w:pBdr>
        <w:jc w:val="both"/>
        <w:rPr>
          <w:color w:val="000000"/>
          <w:sz w:val="22"/>
          <w:szCs w:val="22"/>
        </w:rPr>
      </w:pPr>
      <w:r>
        <w:rPr>
          <w:color w:val="000000"/>
          <w:sz w:val="22"/>
          <w:szCs w:val="22"/>
        </w:rPr>
        <w:t>Le attività formative andranno ripetute in sessioni successive per coprire la totalità degli interessati in funzione delle rispettive indisponibilità per servizio. Nel corso del periodo di garanzia e del periodo di assistenza tecnica, la ditta dovrà procedere con integrazioni alla formazione, secondo le esigenze che verranno manifestate dai Responsabili delle Unità Operativa interessata, anche a copertura del personale in turn-over.</w:t>
      </w:r>
    </w:p>
    <w:p w:rsidR="00065EFA" w:rsidRDefault="00A73CA4">
      <w:pPr>
        <w:widowControl w:val="0"/>
        <w:numPr>
          <w:ilvl w:val="0"/>
          <w:numId w:val="8"/>
        </w:numPr>
        <w:pBdr>
          <w:top w:val="nil"/>
          <w:left w:val="nil"/>
          <w:bottom w:val="nil"/>
          <w:right w:val="nil"/>
          <w:between w:val="nil"/>
        </w:pBdr>
        <w:jc w:val="both"/>
        <w:rPr>
          <w:color w:val="000000"/>
          <w:sz w:val="22"/>
          <w:szCs w:val="22"/>
        </w:rPr>
      </w:pPr>
      <w:r>
        <w:rPr>
          <w:color w:val="000000"/>
          <w:sz w:val="22"/>
          <w:szCs w:val="22"/>
        </w:rPr>
        <w:t>Assistenza telefonica al personale addetto.</w:t>
      </w:r>
    </w:p>
    <w:p w:rsidR="00065EFA" w:rsidRDefault="00A73CA4">
      <w:pPr>
        <w:widowControl w:val="0"/>
        <w:numPr>
          <w:ilvl w:val="0"/>
          <w:numId w:val="8"/>
        </w:numPr>
        <w:pBdr>
          <w:top w:val="nil"/>
          <w:left w:val="nil"/>
          <w:bottom w:val="nil"/>
          <w:right w:val="nil"/>
          <w:between w:val="nil"/>
        </w:pBdr>
        <w:jc w:val="both"/>
        <w:rPr>
          <w:color w:val="000000"/>
          <w:sz w:val="22"/>
          <w:szCs w:val="22"/>
        </w:rPr>
      </w:pPr>
      <w:r>
        <w:rPr>
          <w:color w:val="000000"/>
          <w:sz w:val="22"/>
          <w:szCs w:val="22"/>
        </w:rPr>
        <w:t>Modalità di comunicazione (es. orari, numeri di telefono, etc.) con il fornitore per eventuali richieste di intervento, assistenza e manutenzione e per ogni altro tipo di esigenza connessa con i servizi previsti e con le esigenze di utilizzo dell’aggiornamento e dei relativi dispositivi/accessori.</w:t>
      </w:r>
    </w:p>
    <w:p w:rsidR="00065EFA" w:rsidRDefault="00A73CA4">
      <w:pPr>
        <w:pBdr>
          <w:top w:val="nil"/>
          <w:left w:val="nil"/>
          <w:bottom w:val="nil"/>
          <w:right w:val="nil"/>
          <w:between w:val="nil"/>
        </w:pBdr>
        <w:jc w:val="both"/>
        <w:rPr>
          <w:color w:val="000000"/>
          <w:sz w:val="22"/>
          <w:szCs w:val="22"/>
          <w:u w:val="single"/>
        </w:rPr>
      </w:pPr>
      <w:r>
        <w:rPr>
          <w:color w:val="000000"/>
          <w:sz w:val="22"/>
          <w:szCs w:val="22"/>
          <w:u w:val="single"/>
        </w:rPr>
        <w:t>Le istruzioni, il manuale d’uso e di manutenzione, le schede di sicurezza e le schede tecniche, dovranno essere tutte in lingua italiana.</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Tutti i momenti formativi, salvo diversi accordi, dovranno essere effettuati presso l’Azienda U.L.SS..</w:t>
      </w:r>
    </w:p>
    <w:p w:rsidR="00065EFA" w:rsidRDefault="00A73CA4">
      <w:pPr>
        <w:pBdr>
          <w:top w:val="nil"/>
          <w:left w:val="nil"/>
          <w:bottom w:val="nil"/>
          <w:right w:val="nil"/>
          <w:between w:val="nil"/>
        </w:pBdr>
        <w:jc w:val="both"/>
        <w:rPr>
          <w:color w:val="000000"/>
          <w:sz w:val="22"/>
          <w:szCs w:val="22"/>
        </w:rPr>
      </w:pPr>
      <w:r>
        <w:rPr>
          <w:color w:val="000000"/>
          <w:sz w:val="22"/>
          <w:szCs w:val="22"/>
        </w:rPr>
        <w:t>Tutte le attività di formazione dovranno essere preventivamente concordate dalla Ditta aggiudicataria con l’Azienda U.L.SS. ed organizzate in modo adeguato rispetto alle esigenze cliniche ed organizzative.</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Almeno per la prima settimana di interventi deve essere garantita la presenza ed assistenza di proprio personale qualificato ed idoneo a garantire la gestione in sicurezza del sistema, sia da parte del personale infermieristico che medico.</w:t>
      </w:r>
    </w:p>
    <w:p w:rsidR="00065EFA" w:rsidRDefault="00065EFA">
      <w:pPr>
        <w:pBdr>
          <w:top w:val="nil"/>
          <w:left w:val="nil"/>
          <w:bottom w:val="nil"/>
          <w:right w:val="nil"/>
          <w:between w:val="nil"/>
        </w:pBdr>
        <w:jc w:val="both"/>
        <w:rPr>
          <w:color w:val="000000"/>
          <w:sz w:val="22"/>
          <w:szCs w:val="22"/>
        </w:rPr>
      </w:pPr>
      <w:bookmarkStart w:id="13" w:name="_heading=h.7z59povlhomm" w:colFirst="0" w:colLast="0"/>
      <w:bookmarkEnd w:id="13"/>
    </w:p>
    <w:p w:rsidR="00065EFA" w:rsidRDefault="00A73CA4">
      <w:pPr>
        <w:pBdr>
          <w:top w:val="nil"/>
          <w:left w:val="nil"/>
          <w:bottom w:val="nil"/>
          <w:right w:val="nil"/>
          <w:between w:val="nil"/>
        </w:pBdr>
        <w:jc w:val="both"/>
        <w:rPr>
          <w:color w:val="000000"/>
          <w:sz w:val="22"/>
          <w:szCs w:val="22"/>
        </w:rPr>
      </w:pPr>
      <w:bookmarkStart w:id="14" w:name="_heading=h.icrhfge0qmei" w:colFirst="0" w:colLast="0"/>
      <w:bookmarkEnd w:id="14"/>
      <w:r>
        <w:rPr>
          <w:b/>
          <w:bCs/>
          <w:color w:val="000000"/>
          <w:sz w:val="22"/>
          <w:szCs w:val="22"/>
        </w:rPr>
        <w:t xml:space="preserve">ART. </w:t>
      </w:r>
      <w:proofErr w:type="gramStart"/>
      <w:r>
        <w:rPr>
          <w:b/>
          <w:bCs/>
          <w:color w:val="000000"/>
          <w:sz w:val="22"/>
          <w:szCs w:val="22"/>
        </w:rPr>
        <w:t>20  REPERTORIO</w:t>
      </w:r>
      <w:proofErr w:type="gramEnd"/>
      <w:r>
        <w:rPr>
          <w:b/>
          <w:bCs/>
          <w:color w:val="000000"/>
          <w:sz w:val="22"/>
          <w:szCs w:val="22"/>
        </w:rPr>
        <w:t xml:space="preserve"> NAZIONALE DEI DISPOSITIVI MEDICI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Se dovuto, prima dell’inizio della fornitura l’aggiudicatario è tenuto - qualora non abbia già provveduto - all’inserimento nel Repertorio Nazionale dei Dispositivi Medici commercializzati in Italia (RDM) dei prodotti oggetto della presente procedura, ai sensi del D.M. 20/02/2007 del Ministero della Salute, nel limite delle disposizioni di legge in vigore.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A seguito della comunicazione di aggiudicazione - a comprova dell’avvenuto inserimento del prodotto nel predetto repertorio nazionale - l’aggiudicatario dovrà obbligatoriamente comunicare per iscritto al committente il numero del repertorio acquisito.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Sarà cura del committente verificare a Repertorio l’effettivo inserimento del dispositivo in questione, prima dell’avvio della fornitura.</w:t>
      </w:r>
    </w:p>
    <w:p w:rsidR="00065EFA" w:rsidRDefault="00065EFA">
      <w:pPr>
        <w:widowControl w:val="0"/>
        <w:pBdr>
          <w:top w:val="nil"/>
          <w:left w:val="nil"/>
          <w:bottom w:val="nil"/>
          <w:right w:val="nil"/>
          <w:between w:val="nil"/>
        </w:pBdr>
        <w:jc w:val="both"/>
        <w:rPr>
          <w:color w:val="000000"/>
          <w:sz w:val="22"/>
          <w:szCs w:val="22"/>
        </w:rPr>
      </w:pPr>
      <w:bookmarkStart w:id="15" w:name="_heading=h.osaqmsf2pjiu" w:colFirst="0" w:colLast="0"/>
      <w:bookmarkEnd w:id="15"/>
    </w:p>
    <w:p w:rsidR="00065EFA" w:rsidRDefault="00A73CA4">
      <w:pPr>
        <w:pBdr>
          <w:top w:val="nil"/>
          <w:left w:val="nil"/>
          <w:bottom w:val="nil"/>
          <w:right w:val="nil"/>
          <w:between w:val="nil"/>
        </w:pBdr>
        <w:shd w:val="clear" w:color="auto" w:fill="FFFFFF"/>
        <w:spacing w:after="160"/>
        <w:rPr>
          <w:color w:val="000000"/>
          <w:sz w:val="22"/>
          <w:szCs w:val="22"/>
        </w:rPr>
      </w:pPr>
      <w:r>
        <w:rPr>
          <w:b/>
          <w:bCs/>
          <w:color w:val="000000"/>
          <w:sz w:val="22"/>
          <w:szCs w:val="22"/>
        </w:rPr>
        <w:t>ART 21 - TRACCIABILITÀ DEI PRODOTTI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Con tracciabilità si intende la costante possibilità per il fabbricante di rintracciare, per qualsiasi evenienza, i dispositivi che necessitano di un richiamo di sicurezza.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Considerato l’obbligo normativo in carico al fabbricante per la creazione e il mantenimento di procedure sistematiche idonee a consentire l’applicazione delle misure correttive necessarie in caso di problemi di </w:t>
      </w:r>
      <w:r>
        <w:rPr>
          <w:color w:val="000000"/>
          <w:sz w:val="22"/>
          <w:szCs w:val="22"/>
        </w:rPr>
        <w:lastRenderedPageBreak/>
        <w:t xml:space="preserve">sicurezza nell’utilizzo dei DM, il fornitore deve garantire tutte le informazioni che permettano a questa Azienda ULSS di poter facilmente individuare, con certezza, ogni dispositivo impiegato. </w:t>
      </w:r>
    </w:p>
    <w:p w:rsidR="00065EFA" w:rsidRDefault="00A73CA4">
      <w:pPr>
        <w:pBdr>
          <w:top w:val="nil"/>
          <w:left w:val="nil"/>
          <w:bottom w:val="nil"/>
          <w:right w:val="nil"/>
          <w:between w:val="nil"/>
        </w:pBdr>
        <w:jc w:val="both"/>
        <w:rPr>
          <w:color w:val="000000"/>
          <w:sz w:val="22"/>
          <w:szCs w:val="22"/>
        </w:rPr>
      </w:pPr>
      <w:r>
        <w:rPr>
          <w:color w:val="000000"/>
          <w:sz w:val="22"/>
          <w:szCs w:val="22"/>
        </w:rPr>
        <w:t>Tra gli oneri a carico della ditta affidataria ricorre altresì l'obbligo di comunicazione all’</w:t>
      </w:r>
      <w:proofErr w:type="spellStart"/>
      <w:r>
        <w:rPr>
          <w:color w:val="000000"/>
          <w:sz w:val="22"/>
          <w:szCs w:val="22"/>
        </w:rPr>
        <w:t>Aulss</w:t>
      </w:r>
      <w:proofErr w:type="spellEnd"/>
      <w:r>
        <w:rPr>
          <w:color w:val="000000"/>
          <w:sz w:val="22"/>
          <w:szCs w:val="22"/>
        </w:rPr>
        <w:t xml:space="preserve"> 8 dei dati necessari all’individuazione univoca dei dispositivi.</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A tal fine, </w:t>
      </w:r>
      <w:r>
        <w:rPr>
          <w:color w:val="000000"/>
          <w:sz w:val="22"/>
          <w:szCs w:val="22"/>
          <w:u w:val="single"/>
        </w:rPr>
        <w:t>se disponibile</w:t>
      </w:r>
      <w:r>
        <w:rPr>
          <w:color w:val="000000"/>
          <w:sz w:val="22"/>
          <w:szCs w:val="22"/>
        </w:rPr>
        <w:t xml:space="preserve">, l’aggiudicatario deve fornire l’identificativo univoco (Identificazione Univoca dei Dispositivi (UDI - </w:t>
      </w:r>
      <w:proofErr w:type="spellStart"/>
      <w:r>
        <w:rPr>
          <w:color w:val="000000"/>
          <w:sz w:val="22"/>
          <w:szCs w:val="22"/>
        </w:rPr>
        <w:t>Unique</w:t>
      </w:r>
      <w:proofErr w:type="spellEnd"/>
      <w:r>
        <w:rPr>
          <w:color w:val="000000"/>
          <w:sz w:val="22"/>
          <w:szCs w:val="22"/>
        </w:rPr>
        <w:t xml:space="preserve"> Device Identification) del singolo oggetto. </w:t>
      </w:r>
    </w:p>
    <w:p w:rsidR="00065EFA" w:rsidRDefault="00A73CA4">
      <w:pPr>
        <w:pBdr>
          <w:top w:val="nil"/>
          <w:left w:val="nil"/>
          <w:bottom w:val="nil"/>
          <w:right w:val="nil"/>
          <w:between w:val="nil"/>
        </w:pBdr>
        <w:jc w:val="both"/>
        <w:rPr>
          <w:color w:val="000000"/>
          <w:sz w:val="22"/>
          <w:szCs w:val="22"/>
        </w:rPr>
      </w:pPr>
      <w:r>
        <w:rPr>
          <w:color w:val="000000"/>
          <w:sz w:val="22"/>
          <w:szCs w:val="22"/>
        </w:rPr>
        <w:t>In alternativa, occorre fornire il codice prodotto del fabbricante e qualsiasi altro dato utile all’identificazione univoca dell’oggetto (es. numero di lotto).</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Nel caso di fornitori NON fabbricanti, l’affidatario deve dare evidenza di un eventuale accordo specifico relativo all’assunzione di responsabilità in luogo del fabbricante riguardo alle problematiche ed oneri derivanti dalla normativa vigente sulla vigilanza. </w:t>
      </w:r>
    </w:p>
    <w:p w:rsidR="00065EFA" w:rsidRDefault="00A73CA4">
      <w:pPr>
        <w:pBdr>
          <w:top w:val="nil"/>
          <w:left w:val="nil"/>
          <w:bottom w:val="nil"/>
          <w:right w:val="nil"/>
          <w:between w:val="nil"/>
        </w:pBdr>
        <w:jc w:val="both"/>
        <w:rPr>
          <w:color w:val="000000"/>
          <w:sz w:val="22"/>
          <w:szCs w:val="22"/>
        </w:rPr>
      </w:pPr>
      <w:r>
        <w:rPr>
          <w:color w:val="000000"/>
          <w:sz w:val="22"/>
          <w:szCs w:val="22"/>
        </w:rPr>
        <w:t>È in capo alla ditta affidataria anche la responsabilità dell’aggiornamento di tutte le informazioni fornite per l’intero periodo di validità del contratto, come ad esempio in caso di sostituzione del prodotto presentato in gara per un aggiornamento tecnologico.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center"/>
        <w:rPr>
          <w:color w:val="000000"/>
          <w:sz w:val="22"/>
          <w:szCs w:val="22"/>
        </w:rPr>
      </w:pPr>
      <w:r>
        <w:rPr>
          <w:b/>
          <w:bCs/>
          <w:color w:val="000000"/>
          <w:sz w:val="22"/>
          <w:szCs w:val="22"/>
        </w:rPr>
        <w:t>**********</w:t>
      </w:r>
    </w:p>
    <w:p w:rsidR="00065EFA" w:rsidRDefault="00065EFA">
      <w:pPr>
        <w:widowControl w:val="0"/>
        <w:pBdr>
          <w:top w:val="nil"/>
          <w:left w:val="nil"/>
          <w:bottom w:val="nil"/>
          <w:right w:val="nil"/>
          <w:between w:val="nil"/>
        </w:pBdr>
        <w:jc w:val="both"/>
        <w:rPr>
          <w:color w:val="000000"/>
          <w:sz w:val="22"/>
          <w:szCs w:val="22"/>
          <w:highlight w:val="yellow"/>
        </w:rPr>
      </w:pPr>
    </w:p>
    <w:p w:rsidR="00065EFA" w:rsidRDefault="00A73CA4">
      <w:pPr>
        <w:widowControl w:val="0"/>
        <w:pBdr>
          <w:top w:val="nil"/>
          <w:left w:val="nil"/>
          <w:bottom w:val="nil"/>
          <w:right w:val="nil"/>
          <w:between w:val="nil"/>
        </w:pBdr>
        <w:jc w:val="center"/>
        <w:rPr>
          <w:color w:val="000000"/>
          <w:sz w:val="22"/>
          <w:szCs w:val="22"/>
        </w:rPr>
      </w:pPr>
      <w:r>
        <w:rPr>
          <w:b/>
          <w:bCs/>
          <w:color w:val="000000"/>
          <w:sz w:val="22"/>
          <w:szCs w:val="22"/>
        </w:rPr>
        <w:t xml:space="preserve">CLAUSOLE GENERALI DI CONTRATTO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 xml:space="preserve">Ambito di applicazione e principi generali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L’attività contrattuale dell’Azienda </w:t>
      </w:r>
      <w:proofErr w:type="spellStart"/>
      <w:r>
        <w:rPr>
          <w:color w:val="000000"/>
          <w:sz w:val="22"/>
          <w:szCs w:val="22"/>
        </w:rPr>
        <w:t>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xml:space="preserve"> (di seguito ULSS) è disciplinata dalle specifiche norme vigenti in materia, dal Codice del Contratti Pubblici (D. Lgs. 36/2023), dalle norme del Codice Civile e leggi complementari, dalle presenti condizioni generali, nonché dalla documentazione di gara.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Le seguenti condizioni generali di contratto, predisposte ai sensi dell’art. 1341 c.c., si applicano a tutti i contratti aventi ad oggetto la fornitura di beni e servizi all’ULSS, così come definita dalla vigente normativa in materia di appalti.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L’affidamento deve altresì rispettare i principi generali di cui al </w:t>
      </w:r>
      <w:proofErr w:type="spellStart"/>
      <w:r>
        <w:rPr>
          <w:color w:val="000000"/>
          <w:sz w:val="22"/>
          <w:szCs w:val="22"/>
        </w:rPr>
        <w:t>DLgs</w:t>
      </w:r>
      <w:proofErr w:type="spellEnd"/>
      <w:r>
        <w:rPr>
          <w:color w:val="000000"/>
          <w:sz w:val="22"/>
          <w:szCs w:val="22"/>
        </w:rPr>
        <w:t xml:space="preserve">. n. 36/2023.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keepNext/>
        <w:pBdr>
          <w:top w:val="nil"/>
          <w:left w:val="nil"/>
          <w:bottom w:val="nil"/>
          <w:right w:val="nil"/>
          <w:between w:val="nil"/>
        </w:pBdr>
        <w:tabs>
          <w:tab w:val="right" w:pos="8959"/>
        </w:tabs>
        <w:rPr>
          <w:color w:val="000000"/>
          <w:sz w:val="22"/>
          <w:szCs w:val="22"/>
        </w:rPr>
      </w:pPr>
      <w:r>
        <w:rPr>
          <w:b/>
          <w:bCs/>
          <w:color w:val="000000"/>
          <w:sz w:val="22"/>
          <w:szCs w:val="22"/>
        </w:rPr>
        <w:t>Esecuzione del contratto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Il fornitore è tenuto all’esecuzione a regola d’arte, secondo gli usi commerciali, della fornitura di beni o servizi oggetto del contratto. Nell’esecuzione, il fornitore è tenuto alla diligenza del buon padre di famiglia ed a una particolare attenzione qualitativa derivante dalla caratteristica sanitaria ed ospedaliera delle attività e dei servizi dell’ULSS.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fornitore deve eseguire la prestazione a regola d’arte, nel rispetto di tutte le norme e le prescrizioni tecniche e di sicurezza in vigore al momento dell’esecuzione, anche intervenute successivamente alla stipula del contratto.</w:t>
      </w:r>
    </w:p>
    <w:p w:rsidR="00065EFA" w:rsidRDefault="00A73CA4">
      <w:pPr>
        <w:widowControl w:val="0"/>
        <w:pBdr>
          <w:top w:val="nil"/>
          <w:left w:val="nil"/>
          <w:bottom w:val="nil"/>
          <w:right w:val="nil"/>
          <w:between w:val="nil"/>
        </w:pBdr>
        <w:jc w:val="both"/>
        <w:rPr>
          <w:color w:val="000000"/>
          <w:sz w:val="22"/>
          <w:szCs w:val="22"/>
        </w:rPr>
      </w:pPr>
      <w:proofErr w:type="gramStart"/>
      <w:r>
        <w:rPr>
          <w:color w:val="000000"/>
          <w:sz w:val="22"/>
          <w:szCs w:val="22"/>
        </w:rPr>
        <w:t>E’</w:t>
      </w:r>
      <w:proofErr w:type="gramEnd"/>
      <w:r>
        <w:rPr>
          <w:color w:val="000000"/>
          <w:sz w:val="22"/>
          <w:szCs w:val="22"/>
        </w:rPr>
        <w:t xml:space="preserve"> a carico del fornitore ogni attività che si renda necessaria od opportuna ai fini dell’esatto adempimento delle obbligazioni contrattuali.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Le attività a carico del fornitore si intendono interamente remunerate con il corrispettivo contrattuale.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b/>
          <w:bCs/>
          <w:i/>
          <w:iCs/>
          <w:color w:val="000000"/>
          <w:sz w:val="22"/>
          <w:szCs w:val="22"/>
        </w:rPr>
      </w:pPr>
      <w:r>
        <w:rPr>
          <w:b/>
          <w:bCs/>
          <w:i/>
          <w:iCs/>
          <w:color w:val="000000"/>
          <w:sz w:val="22"/>
          <w:szCs w:val="22"/>
        </w:rPr>
        <w:t>OBBLIGO DELL’APPALTATORE DI OSSERVANZA DELLE CLAUSOLE CONTENUTE NEI PROTOCOLLI DI LEGALITA’ O NEI PATTI DI INTEGRITA’</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jc w:val="both"/>
        <w:rPr>
          <w:sz w:val="22"/>
          <w:szCs w:val="22"/>
        </w:rPr>
      </w:pPr>
      <w:r>
        <w:rPr>
          <w:sz w:val="22"/>
          <w:szCs w:val="22"/>
        </w:rPr>
        <w:t>L’Appaltatore si impegna a rispettare tutte le clausole pattizie di cui al Protocollo di legalità sottoscritto tra la Regione del Veneto e gli Uffici territoriali del Governo del Veneto ANCI e UPI ai fini della prevenzione dei tentativi d'infiltrazione della criminalità organizzata nel settore dei contratti pubblici di lavori, servizi e forniture, che rinnova il Protocollo sottoscritto in data 17 settembre 2019. Legge 7agosto 1990, n. 241, art. 15, comma 1, e Legge regionale 28 dicembre 2012, n. 48, art. 4, comma 2.</w:t>
      </w:r>
    </w:p>
    <w:p w:rsidR="00065EFA" w:rsidRDefault="00A73CA4">
      <w:pPr>
        <w:widowControl w:val="0"/>
        <w:jc w:val="both"/>
        <w:rPr>
          <w:sz w:val="22"/>
          <w:szCs w:val="22"/>
        </w:rPr>
      </w:pPr>
      <w:r>
        <w:rPr>
          <w:sz w:val="22"/>
          <w:szCs w:val="22"/>
        </w:rPr>
        <w:t xml:space="preserve">, il cui schema è stato approvato dalla Giunta Regionale con Deliberazione n. n. 721 del 08 luglio 2025, consultabile sul sito della Giunta Regionale del Veneto. L’appaltatore si impegna a rispettare tutte le clausole </w:t>
      </w:r>
      <w:r>
        <w:rPr>
          <w:sz w:val="22"/>
          <w:szCs w:val="22"/>
        </w:rPr>
        <w:lastRenderedPageBreak/>
        <w:t>pattizie di cui al suddetto Protocollo di legalità e di accettarne incondizionatamente il contenuto e gli effetti.</w:t>
      </w:r>
    </w:p>
    <w:p w:rsidR="00065EFA" w:rsidRDefault="00A73CA4">
      <w:pPr>
        <w:widowControl w:val="0"/>
        <w:jc w:val="both"/>
        <w:rPr>
          <w:sz w:val="22"/>
          <w:szCs w:val="22"/>
        </w:rPr>
      </w:pPr>
      <w:r>
        <w:rPr>
          <w:sz w:val="22"/>
          <w:szCs w:val="22"/>
        </w:rPr>
        <w:t>Il contratto è risolto immediatamente e automaticamente, qualora dovessero essere comunicate dalla Prefettura, successivamente alla stipula del contratto, informazioni interdittive di cui all’art. 10 del D.P.R. 3 giugno 1998, n. 252. In tal caso, sarà applicata a carico dell’impresa, oggetto dell’informativa interdittiva successiva, anche una penale nella misura del 10% del valore del contratto, salvo maggior danno. Ove possibile, le penali saranno applicate mediante automatica detrazione, da parte della stazione appaltante, del relativo importo dalle somme dovute in relazione alla prima erogazione utile.</w:t>
      </w:r>
    </w:p>
    <w:p w:rsidR="00065EFA" w:rsidRDefault="00A73CA4">
      <w:pPr>
        <w:widowControl w:val="0"/>
        <w:jc w:val="both"/>
        <w:rPr>
          <w:sz w:val="22"/>
          <w:szCs w:val="22"/>
        </w:rPr>
      </w:pPr>
      <w:r>
        <w:rPr>
          <w:sz w:val="22"/>
          <w:szCs w:val="22"/>
        </w:rPr>
        <w:t>L’appaltatore si impegna ad inserire nel contratto di subappalto o in altro subcontratto, una clausola risolutiva espressa che preveda la risoluzione immediata ed automatica del contratto di subappalto, previa revoca dell’autorizzazione al subappalto, ovvero la risoluzione del subcontratto, qualora dovessero essere comunicate dalla Prefettura, successivamente alla stipula del subappalto o del subcontratto, informazioni interdittive di cui all’art. 10 del D.P.R. 3 giugno 1998, n. 252. L’appaltatore si obbliga altresì ad inserire nel contratto di subappalto o nel subcontratto una clausola che preveda l’applicazione a carico dell’impresa, oggetto dell’informativa interdittiva successiva, anche di una penale nella misura del 10% del valore del subappalto o del subcontratto, salvo il maggior danno, specificando che le somme provenienti dall’applicazione delle penali saranno affidate in custodia all’appaltatore e destinate all’attuazione di misure incrementali della sicurezza dell’intervento, secondo le indicazioni che saranno impartite dalla Prefettura.</w:t>
      </w:r>
    </w:p>
    <w:p w:rsidR="00065EFA" w:rsidRDefault="00A73CA4">
      <w:pPr>
        <w:widowControl w:val="0"/>
        <w:jc w:val="both"/>
        <w:rPr>
          <w:sz w:val="22"/>
          <w:szCs w:val="22"/>
        </w:rPr>
      </w:pPr>
      <w:r>
        <w:rPr>
          <w:sz w:val="22"/>
          <w:szCs w:val="22"/>
        </w:rPr>
        <w:t xml:space="preserve">L’Azienda Sanitaria si riserva di valutare le cc.dd. “informazioni supplementari atipiche” – di cui all’art. 1 </w:t>
      </w:r>
      <w:proofErr w:type="spellStart"/>
      <w:r>
        <w:rPr>
          <w:sz w:val="22"/>
          <w:szCs w:val="22"/>
        </w:rPr>
        <w:t>septies</w:t>
      </w:r>
      <w:proofErr w:type="spellEnd"/>
      <w:r>
        <w:rPr>
          <w:sz w:val="22"/>
          <w:szCs w:val="22"/>
        </w:rPr>
        <w:t xml:space="preserve"> del Decreto Legge 6 settembre 1982, n. 629 (Misure urgenti per il coordinamento della lotta contro la delinquenza mafiosa), convertito nella legge 12 ottobre 1982, n. 726, e successive integrazioni – ai fini del gradimento dell’impresa sub-affidataria, per gli effetti di cui all’art. 11, comma 3, del D.P.R. n. 252/1998.</w:t>
      </w:r>
    </w:p>
    <w:p w:rsidR="00065EFA" w:rsidRDefault="00065EFA">
      <w:pPr>
        <w:widowControl w:val="0"/>
        <w:pBdr>
          <w:top w:val="nil"/>
          <w:left w:val="nil"/>
          <w:bottom w:val="nil"/>
          <w:right w:val="nil"/>
          <w:between w:val="nil"/>
        </w:pBdr>
        <w:ind w:firstLine="708"/>
        <w:jc w:val="both"/>
        <w:rPr>
          <w:color w:val="000000"/>
          <w:sz w:val="22"/>
          <w:szCs w:val="22"/>
        </w:rPr>
      </w:pP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 xml:space="preserve">CONTROLLI E VERIFICHE DI CONFORMITA’ </w:t>
      </w:r>
      <w:r>
        <w:rPr>
          <w:b/>
          <w:bCs/>
          <w:smallCaps/>
          <w:color w:val="000000"/>
          <w:sz w:val="22"/>
          <w:szCs w:val="22"/>
        </w:rPr>
        <w:t>E DIRETTORE DELL'ESECUZIONE DEL CONTRATTO</w:t>
      </w:r>
      <w:r>
        <w:rPr>
          <w:smallCaps/>
          <w:color w:val="000000"/>
          <w:sz w:val="22"/>
          <w:szCs w:val="22"/>
        </w:rPr>
        <w:t xml:space="preserve">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L’Azienda </w:t>
      </w:r>
      <w:proofErr w:type="spellStart"/>
      <w:r>
        <w:rPr>
          <w:color w:val="000000"/>
          <w:sz w:val="22"/>
          <w:szCs w:val="22"/>
        </w:rPr>
        <w:t>Ulss</w:t>
      </w:r>
      <w:proofErr w:type="spellEnd"/>
      <w:r>
        <w:rPr>
          <w:color w:val="000000"/>
          <w:sz w:val="22"/>
          <w:szCs w:val="22"/>
        </w:rPr>
        <w:t xml:space="preserve"> si riserva la facoltà di effettuare controlli in modo da verificare che la fornitura/il servizio sia svolto nel rispetto di quanto previsto dalla documentazione di gara, dal contratto, dall’offerta tecnica ed economica.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Per la regolare esecuzione dei contratti di forniture e servizi può essere nominato, ai sensi dell’art. 114 del </w:t>
      </w:r>
      <w:proofErr w:type="spellStart"/>
      <w:r>
        <w:rPr>
          <w:color w:val="000000"/>
          <w:sz w:val="22"/>
          <w:szCs w:val="22"/>
        </w:rPr>
        <w:t>D.Lgs.</w:t>
      </w:r>
      <w:proofErr w:type="spellEnd"/>
      <w:r>
        <w:rPr>
          <w:color w:val="000000"/>
          <w:sz w:val="22"/>
          <w:szCs w:val="22"/>
        </w:rPr>
        <w:t xml:space="preserve"> 36/2023, un Direttore dell’Esecuzione del Contratto (di seguito DEC) a cui è assegnato il compito di coordinare, dirigere e monitorare il regolare andamento dell’esecuzione del contratto Il DEC verrà individuato unitamente al provvedimento di aggiudicazione dell’appalto medesimo e rappresenterà il principale interlocutore dell’appaltatore; per lo svolgimento delle sue funzioni potrà nominare uno o più direttori operativi a cui affidare una o più attività di controllo. L’eventuale difformità rispetto ai documenti contrattuali riscontrata dal DEC nell’esecuzione del servizio/fornitura dovrà essere comunicata al RUP nel più breve tempo possibile al fine di applicare le azioni correttive previste, nonché le eventuali penali, fatto salvo, in ogni caso, il diritto dell’ULSS di risolvere il contratto nonché l’eventuale risarcimento del danno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tabs>
          <w:tab w:val="left" w:pos="6255"/>
        </w:tabs>
        <w:rPr>
          <w:color w:val="000000"/>
          <w:sz w:val="22"/>
          <w:szCs w:val="22"/>
        </w:rPr>
      </w:pPr>
      <w:r>
        <w:rPr>
          <w:b/>
          <w:bCs/>
          <w:smallCaps/>
          <w:color w:val="000000"/>
          <w:sz w:val="22"/>
          <w:szCs w:val="22"/>
        </w:rPr>
        <w:t>NORMATIVA SUL LAVORO, PREVIDENZA ED ASSISTENZA</w:t>
      </w:r>
      <w:r>
        <w:rPr>
          <w:b/>
          <w:bCs/>
          <w:smallCaps/>
          <w:color w:val="000000"/>
          <w:sz w:val="22"/>
          <w:szCs w:val="22"/>
        </w:rPr>
        <w:tab/>
      </w:r>
    </w:p>
    <w:p w:rsidR="00065EFA" w:rsidRDefault="00A73CA4">
      <w:pPr>
        <w:widowControl w:val="0"/>
        <w:pBdr>
          <w:top w:val="nil"/>
          <w:left w:val="nil"/>
          <w:bottom w:val="nil"/>
          <w:right w:val="nil"/>
          <w:between w:val="nil"/>
        </w:pBdr>
        <w:jc w:val="both"/>
        <w:rPr>
          <w:color w:val="000000"/>
          <w:sz w:val="22"/>
          <w:szCs w:val="22"/>
        </w:rPr>
      </w:pPr>
      <w:bookmarkStart w:id="16" w:name="_heading=h.se32btgm1zfq" w:colFirst="0" w:colLast="0"/>
      <w:bookmarkEnd w:id="16"/>
      <w:r>
        <w:rPr>
          <w:color w:val="000000"/>
          <w:sz w:val="22"/>
          <w:szCs w:val="22"/>
        </w:rPr>
        <w:t xml:space="preserve">L’Appaltatore si obbliga ad ottemperare a tutti gli obblighi verso i propri dipendenti derivanti da disposizioni legislative e regolamentari vigenti in materia di lavoro, previdenza ed assistenza obbligatorie (INPS, INAIL o casse equivalenti) ed assunzione di lavoratori disabili ex L. 68/1999. L’Appaltatore, anche se non aderente ad associazioni firmatarie, si obbliga ad applicare, nei confronti dei propri dipendenti e, se cooperativa, nei confronti dei soci lavoratori, occupati nelle attività oggetto del contratto, condizioni contrattuali normative e retributive non inferiori a quelle previste dai Contratti Collettivi Nazionali di Lavoro di riferimento e dai Contratti Integrativi di Lavoro territoriali applicabili alla data di stipula del presente contratto, nonché le condizioni risultanti da successive modifiche ed integrazioni. Tale obbligo permane anche dopo la loro scadenza e fino a loro rinnovo. L’Appaltatore si impegna, anche ai sensi e per gli effetti dell’art. 1381 Codice Civile, a far rispettare gli obblighi di cui ai precedenti commi del presente articolo anche agli eventuali esecutori di parti delle attività oggetto del contratto.  Si applicano le disposizioni di cui all’art. 11 del </w:t>
      </w:r>
      <w:proofErr w:type="spellStart"/>
      <w:r>
        <w:rPr>
          <w:color w:val="000000"/>
          <w:sz w:val="22"/>
          <w:szCs w:val="22"/>
        </w:rPr>
        <w:t>D.Lgs.</w:t>
      </w:r>
      <w:proofErr w:type="spellEnd"/>
      <w:r>
        <w:rPr>
          <w:color w:val="000000"/>
          <w:sz w:val="22"/>
          <w:szCs w:val="22"/>
        </w:rPr>
        <w:t xml:space="preserve"> 36/2023 e </w:t>
      </w:r>
      <w:proofErr w:type="spellStart"/>
      <w:r>
        <w:rPr>
          <w:color w:val="000000"/>
          <w:sz w:val="22"/>
          <w:szCs w:val="22"/>
        </w:rPr>
        <w:t>s.m.i.</w:t>
      </w:r>
      <w:proofErr w:type="spellEnd"/>
      <w:r>
        <w:rPr>
          <w:color w:val="000000"/>
          <w:sz w:val="22"/>
          <w:szCs w:val="22"/>
        </w:rPr>
        <w:t>, a salvaguardia della adempienza contributiva e retributiva.</w:t>
      </w:r>
    </w:p>
    <w:p w:rsidR="00065EFA" w:rsidRDefault="00065EFA">
      <w:pPr>
        <w:pBdr>
          <w:top w:val="nil"/>
          <w:left w:val="nil"/>
          <w:bottom w:val="nil"/>
          <w:right w:val="nil"/>
          <w:between w:val="nil"/>
        </w:pBdr>
        <w:jc w:val="both"/>
        <w:rPr>
          <w:color w:val="000000"/>
          <w:sz w:val="22"/>
          <w:szCs w:val="22"/>
        </w:rPr>
      </w:pPr>
    </w:p>
    <w:p w:rsidR="000D2BC3" w:rsidRDefault="000D2BC3">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smallCaps/>
          <w:color w:val="000000"/>
          <w:sz w:val="22"/>
          <w:szCs w:val="22"/>
        </w:rPr>
        <w:lastRenderedPageBreak/>
        <w:t>TUTELA DELLA SALUTE E SICUREZZA E IGIENE SUL LAVORO</w:t>
      </w:r>
    </w:p>
    <w:p w:rsidR="00065EFA" w:rsidRDefault="00065EFA">
      <w:pPr>
        <w:keepNext/>
        <w:pBdr>
          <w:top w:val="nil"/>
          <w:left w:val="nil"/>
          <w:bottom w:val="nil"/>
          <w:right w:val="nil"/>
          <w:between w:val="nil"/>
        </w:pBdr>
        <w:jc w:val="center"/>
        <w:rPr>
          <w:b/>
          <w:bCs/>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L’Appaltatore si impegna ad osservare e far osservare ai propri dipendenti, collaboratori e soci, in caso di società cooperativa nonché ai terzi presenti sui luoghi nei quali si esegue l’appalto, tutte le norme vigenti in materia di sicurezza, igiene e salute nei luoghi di lavoro, di cui al </w:t>
      </w:r>
      <w:proofErr w:type="spellStart"/>
      <w:r>
        <w:rPr>
          <w:color w:val="000000"/>
          <w:sz w:val="22"/>
          <w:szCs w:val="22"/>
        </w:rPr>
        <w:t>D.lgs</w:t>
      </w:r>
      <w:proofErr w:type="spellEnd"/>
      <w:r>
        <w:rPr>
          <w:color w:val="000000"/>
          <w:sz w:val="22"/>
          <w:szCs w:val="22"/>
        </w:rPr>
        <w:t xml:space="preserve"> 81/2008 e ad adottare tutti i provvedimenti all’uopo ritenuti necessari ed opportuni, senza con ciò creare danno o disturbo alle attività/proprietà dell’Azienda.  L’Appaltatore dovrà dotare il proprio personale di tutti i dispositivi di protezione individuale necessari per l’esecuzione delle attività oggetto dell’appalto.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MODALITA’ DI FATTURAZIONE E PAGAMENTI</w:t>
      </w:r>
      <w:r>
        <w:rPr>
          <w:b/>
          <w:bCs/>
          <w:i/>
          <w:iCs/>
          <w:color w:val="000000"/>
          <w:sz w:val="22"/>
          <w:szCs w:val="22"/>
        </w:rPr>
        <w:t xml:space="preserve">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ditta aggiudicataria nei rapporti con la stazione appaltante dovrà procedere all’emissione ed alla trasmissione delle fatture in forma elettronica, nei termini e modalità previsti dalla normativa in vigore.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Le fatture elettroniche prodotte dovranno essere emesse nel rispetto delle specifiche tecniche reperibili nel sito </w:t>
      </w:r>
      <w:hyperlink r:id="rId8">
        <w:r>
          <w:rPr>
            <w:i/>
            <w:iCs/>
            <w:color w:val="0000FF"/>
            <w:sz w:val="22"/>
            <w:szCs w:val="22"/>
            <w:u w:val="single"/>
          </w:rPr>
          <w:t>http://www.fatturapa.gov.it/</w:t>
        </w:r>
      </w:hyperlink>
      <w:r>
        <w:rPr>
          <w:color w:val="000000"/>
          <w:sz w:val="22"/>
          <w:szCs w:val="22"/>
        </w:rPr>
        <w:t>.</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Al fine del rispetto degli obblighi descritti in premessa, per indirizzare correttamente le fatture emesse, dovrà essere utilizzato il Codice Univoco Ufficio UFI8LR, reperibile anche nel sito </w:t>
      </w:r>
      <w:hyperlink r:id="rId9">
        <w:r>
          <w:rPr>
            <w:i/>
            <w:iCs/>
            <w:color w:val="0000FF"/>
            <w:sz w:val="22"/>
            <w:szCs w:val="22"/>
            <w:u w:val="single"/>
          </w:rPr>
          <w:t>www.indicepa.gov.it</w:t>
        </w:r>
      </w:hyperlink>
      <w:r>
        <w:rPr>
          <w:color w:val="000000"/>
          <w:sz w:val="22"/>
          <w:szCs w:val="22"/>
        </w:rPr>
        <w:t xml:space="preserve">.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L’amministrazione non potrà accettare le fatture emesse o trasmesse in forma cartacea né potrà procedere ad alcun pagamento, nemmeno parziale, sino all’invio in forma elettronica.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 Ditta aggiudicataria potrà procedere alla fatturazione elettronica della merce effettivamente consegnata, a seguito di ricevimento di apposito ordinativo di fornitura.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Per il pagamento dei canoni relativi al noleggio delle apparecchiature e all’assistenza tecnica l’Appaltatore emetterà fatture trimestrali posticipate, a far data dal completamento positivo del collaudo.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Le fatture relative a tutto il materiale di consumo verranno emesse dall’Appaltatore dopo la consegna del materiale stesso, susseguente all’emanazione di apposito ordine di consegna.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Non possono essere addebitati all’U.L.SS. costi derivanti dalla fornitura di apparecchi o materiali di consumo erogati prima della data di emissione degli ordini.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L’IVA a carico dell’U.L.SS. sarà applicata nella misura ridotta dove e se prevista dalla normativa vigente.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pagamenti delle suddette fatture saranno effettuati, ai sensi dell’art. 4 del D. Lgs. n. 231/2002, a 60 giorni dalla data di ricevimento della fattura da parte dell’Amministrazione.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Per quanto riguarda gli interessi moratori troverà applicazione quanto disposto dal D. Lgs. 231/2002.</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Resta salva, in capo all’Azienda U.L.SS., l’azione di responsabilità per vizi e/o difetti e/o difformità dei beni forniti.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Qualora si verificassero contestazioni, i termini di pagamento rimarranno sospesi e riprenderanno a decorrere con la definizione della pendenza.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L’Azienda Sanitaria, a garanzia della puntuale osservanza delle clausole contrattuali, può sospendere, ferma restando l’applicazione delle eventuali penalità, i pagamenti al fornitore cui sono state contestate inadempienze nell’esecuzione della fornitura, fino a che non si sia posto in regola con gli obblighi contrattuali (art. 1460 C.C.).</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Resta tuttavia espressamente inteso che in nessun caso, ivi compreso il caso di ritardi di pagamento dei corrispettivi dovuti, il fornitore potrà sospendere la fornitura e, comunque, le attività previste nel contratto e nei singoli ordinativi di fornitura; qualora il fornitore si rendesse inadempiente a tale obbligo, l’ordinativo di fornitura e/o il contratto si potranno risolvere di diritto, mediante semplice ed unilaterale dichiarazione da comunicarsi a mezzo lettera raccomandata A.R. ovvero P.E.C. da parte dell’Azienda </w:t>
      </w:r>
      <w:proofErr w:type="spellStart"/>
      <w:r>
        <w:rPr>
          <w:color w:val="000000"/>
          <w:sz w:val="22"/>
          <w:szCs w:val="22"/>
        </w:rPr>
        <w:t>Ulss</w:t>
      </w:r>
      <w:proofErr w:type="spellEnd"/>
      <w:r>
        <w:rPr>
          <w:color w:val="000000"/>
          <w:sz w:val="22"/>
          <w:szCs w:val="22"/>
        </w:rPr>
        <w:t>.</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TUTELA CONTRO AZIONI DI TERZI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ditta aggiudicataria assumerà ogni responsabilità per l’uso di dispositivi o per l’adozione di soluzioni tecniche o di altra natura che violino brevetti per invenzioni, modelli industriali, marche e diritti d’autore.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ditta esecutrice dovrà pertanto assumere a proprio carico tutti gli oneri derivanti da eventuali azioni esperite nei confronti dell’ente appaltante in relazione ai beni oggetto della fornitura o in relazione al loro uso, obbligandosi a tenere indenne l’Azienda Sanitaria dagli oneri eventualmente sostenuti per la difesa in giudizio, nonché dalle spese e dai danni a cui la stessa dovesse essere condannata con sentenza passata in giudicato.</w:t>
      </w:r>
    </w:p>
    <w:p w:rsidR="00065EFA" w:rsidRDefault="00065EFA">
      <w:pPr>
        <w:widowControl w:val="0"/>
        <w:pBdr>
          <w:top w:val="nil"/>
          <w:left w:val="nil"/>
          <w:bottom w:val="nil"/>
          <w:right w:val="nil"/>
          <w:between w:val="nil"/>
        </w:pBdr>
        <w:jc w:val="both"/>
        <w:rPr>
          <w:color w:val="000000"/>
          <w:sz w:val="22"/>
          <w:szCs w:val="22"/>
        </w:rPr>
      </w:pPr>
    </w:p>
    <w:p w:rsidR="00065EFA" w:rsidRDefault="00065EFA">
      <w:pPr>
        <w:widowControl w:val="0"/>
        <w:pBdr>
          <w:top w:val="nil"/>
          <w:left w:val="nil"/>
          <w:bottom w:val="nil"/>
          <w:right w:val="nil"/>
          <w:between w:val="nil"/>
        </w:pBdr>
        <w:jc w:val="both"/>
        <w:rPr>
          <w:color w:val="000000"/>
          <w:sz w:val="22"/>
          <w:szCs w:val="22"/>
        </w:rPr>
      </w:pP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OBBLIGHI DELL’APPALTATORE RELATIVI ALLA TRACCIABILITA’ DEI FLUSSI FINANZIARI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 ditta aggiudicataria assume tutti gli obblighi di tracciabilità dei flussi finanziari di cui all’art.3 della L. 13 agosto 2010, n. 136 e successive modifiche.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Si impegna, inoltre, a dare immediata comunicazione all’Azienda ULSS ed alla prefettura-ufficio territoriale del Governo della provincia di Vicenza della notizia dell’inadempimento della propria controparte (subappaltatore o subcontraente) agli obblighi di tracciabilità finanziaria.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Nei termini previsti dall’art. 3 comma 7 della L. 136/2010 la Ditta dovrà comunicare al Servizio Finanziario e Fiscale dell’Azienda ULSS n. </w:t>
      </w:r>
      <w:proofErr w:type="gramStart"/>
      <w:r>
        <w:rPr>
          <w:color w:val="000000"/>
          <w:sz w:val="22"/>
          <w:szCs w:val="22"/>
        </w:rPr>
        <w:t>8  seguenti</w:t>
      </w:r>
      <w:proofErr w:type="gramEnd"/>
      <w:r>
        <w:rPr>
          <w:color w:val="000000"/>
          <w:sz w:val="22"/>
          <w:szCs w:val="22"/>
        </w:rPr>
        <w:t xml:space="preserve"> dati:</w:t>
      </w:r>
    </w:p>
    <w:p w:rsidR="00065EFA" w:rsidRDefault="00A73CA4">
      <w:pPr>
        <w:widowControl w:val="0"/>
        <w:numPr>
          <w:ilvl w:val="0"/>
          <w:numId w:val="11"/>
        </w:numPr>
        <w:pBdr>
          <w:top w:val="nil"/>
          <w:left w:val="nil"/>
          <w:bottom w:val="nil"/>
          <w:right w:val="nil"/>
          <w:between w:val="nil"/>
        </w:pBdr>
        <w:jc w:val="both"/>
        <w:rPr>
          <w:color w:val="000000"/>
          <w:sz w:val="22"/>
          <w:szCs w:val="22"/>
        </w:rPr>
      </w:pPr>
      <w:r>
        <w:rPr>
          <w:color w:val="000000"/>
          <w:sz w:val="22"/>
          <w:szCs w:val="22"/>
        </w:rPr>
        <w:t>estremi identificativi dei conti correnti bancari o postali dedicati, con l’indicazione dell’opera/servizio/fornitura alla quale sono dedicati;</w:t>
      </w:r>
    </w:p>
    <w:p w:rsidR="00065EFA" w:rsidRDefault="00A73CA4">
      <w:pPr>
        <w:widowControl w:val="0"/>
        <w:numPr>
          <w:ilvl w:val="0"/>
          <w:numId w:val="11"/>
        </w:numPr>
        <w:pBdr>
          <w:top w:val="nil"/>
          <w:left w:val="nil"/>
          <w:bottom w:val="nil"/>
          <w:right w:val="nil"/>
          <w:between w:val="nil"/>
        </w:pBdr>
        <w:jc w:val="both"/>
        <w:rPr>
          <w:color w:val="000000"/>
          <w:sz w:val="22"/>
          <w:szCs w:val="22"/>
        </w:rPr>
      </w:pPr>
      <w:r>
        <w:rPr>
          <w:color w:val="000000"/>
          <w:sz w:val="22"/>
          <w:szCs w:val="22"/>
        </w:rPr>
        <w:t>le generalità e il codice fiscale delle persone delegate ad operare sugli stessi;</w:t>
      </w:r>
    </w:p>
    <w:p w:rsidR="00065EFA" w:rsidRDefault="00A73CA4">
      <w:pPr>
        <w:widowControl w:val="0"/>
        <w:numPr>
          <w:ilvl w:val="0"/>
          <w:numId w:val="11"/>
        </w:numPr>
        <w:pBdr>
          <w:top w:val="nil"/>
          <w:left w:val="nil"/>
          <w:bottom w:val="nil"/>
          <w:right w:val="nil"/>
          <w:between w:val="nil"/>
        </w:pBdr>
        <w:jc w:val="both"/>
        <w:rPr>
          <w:color w:val="000000"/>
          <w:sz w:val="22"/>
          <w:szCs w:val="22"/>
        </w:rPr>
      </w:pPr>
      <w:r>
        <w:rPr>
          <w:color w:val="000000"/>
          <w:sz w:val="22"/>
          <w:szCs w:val="22"/>
        </w:rPr>
        <w:t>ogni modifica relativa ai dati trasmessi.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Il mancato rispetto dell’obbligo di tracciabilità dei flussi finanziari così come disposto dalla L. 136/2010 determinerà ai sensi dell’art. 1456 del C.C. la risoluzione del contratto.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 xml:space="preserve"> INADEMPIMENTI E PENALI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u w:val="single"/>
        </w:rPr>
        <w:t xml:space="preserve">In relazione alla </w:t>
      </w:r>
      <w:proofErr w:type="gramStart"/>
      <w:r>
        <w:rPr>
          <w:color w:val="000000"/>
          <w:sz w:val="22"/>
          <w:szCs w:val="22"/>
          <w:u w:val="single"/>
        </w:rPr>
        <w:t>consegna  dei</w:t>
      </w:r>
      <w:proofErr w:type="gramEnd"/>
      <w:r>
        <w:rPr>
          <w:color w:val="000000"/>
          <w:sz w:val="22"/>
          <w:szCs w:val="22"/>
          <w:u w:val="single"/>
        </w:rPr>
        <w:t xml:space="preserve"> prodotti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In caso di inosservanza delle obbligazioni contrattuali, l’Azienda </w:t>
      </w:r>
      <w:proofErr w:type="spellStart"/>
      <w:r>
        <w:rPr>
          <w:color w:val="000000"/>
          <w:sz w:val="22"/>
          <w:szCs w:val="22"/>
        </w:rPr>
        <w:t>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si riserva di applicare le seguenti penali:</w:t>
      </w:r>
    </w:p>
    <w:p w:rsidR="00065EFA" w:rsidRDefault="00A73CA4">
      <w:pPr>
        <w:widowControl w:val="0"/>
        <w:numPr>
          <w:ilvl w:val="0"/>
          <w:numId w:val="26"/>
        </w:numPr>
        <w:pBdr>
          <w:top w:val="nil"/>
          <w:left w:val="nil"/>
          <w:bottom w:val="nil"/>
          <w:right w:val="nil"/>
          <w:between w:val="nil"/>
        </w:pBdr>
        <w:jc w:val="both"/>
        <w:rPr>
          <w:color w:val="000000"/>
          <w:sz w:val="22"/>
          <w:szCs w:val="22"/>
        </w:rPr>
      </w:pPr>
      <w:r>
        <w:rPr>
          <w:color w:val="000000"/>
          <w:sz w:val="22"/>
          <w:szCs w:val="22"/>
        </w:rPr>
        <w:t>in caso di ritardo nella consegna dei prodotti, intendendosi per ritardo l’ipotesi in cui il fornitore non provveda alla consegna nel termine pattuito, sarà dovuta una penale pari allo 0,3 per mille dell’ammontare netto contrattuale, per ciascun giorno di ritardo fino ad un massimo di 10 giorni e comunque in misura non superiore al 10% dell’ammontare netto contrattuale;</w:t>
      </w:r>
    </w:p>
    <w:p w:rsidR="00065EFA" w:rsidRDefault="00A73CA4">
      <w:pPr>
        <w:widowControl w:val="0"/>
        <w:pBdr>
          <w:top w:val="nil"/>
          <w:left w:val="nil"/>
          <w:bottom w:val="nil"/>
          <w:right w:val="nil"/>
          <w:between w:val="nil"/>
        </w:pBdr>
        <w:ind w:left="720"/>
        <w:jc w:val="both"/>
        <w:rPr>
          <w:color w:val="000000"/>
          <w:sz w:val="22"/>
          <w:szCs w:val="22"/>
        </w:rPr>
      </w:pPr>
      <w:r>
        <w:rPr>
          <w:color w:val="000000"/>
          <w:sz w:val="22"/>
          <w:szCs w:val="22"/>
        </w:rPr>
        <w:t>Nel caso in cui l’ordine sia stato solo parzialmente evaso, fuori dall’ipotesi di consegna frazionata autorizzata e concordata, di cui al suddetto art. “</w:t>
      </w:r>
      <w:r>
        <w:rPr>
          <w:i/>
          <w:iCs/>
          <w:color w:val="000000"/>
          <w:sz w:val="22"/>
          <w:szCs w:val="22"/>
        </w:rPr>
        <w:t>Consegne</w:t>
      </w:r>
      <w:r>
        <w:rPr>
          <w:color w:val="000000"/>
          <w:sz w:val="22"/>
          <w:szCs w:val="22"/>
        </w:rPr>
        <w:t>” del presente capitolato, la penale sarà calcolata sulla quota parte dei quantitativi in ritardo</w:t>
      </w:r>
    </w:p>
    <w:p w:rsidR="00065EFA" w:rsidRDefault="00A73CA4">
      <w:pPr>
        <w:widowControl w:val="0"/>
        <w:numPr>
          <w:ilvl w:val="0"/>
          <w:numId w:val="26"/>
        </w:numPr>
        <w:pBdr>
          <w:top w:val="nil"/>
          <w:left w:val="nil"/>
          <w:bottom w:val="nil"/>
          <w:right w:val="nil"/>
          <w:between w:val="nil"/>
        </w:pBdr>
        <w:jc w:val="both"/>
        <w:rPr>
          <w:color w:val="000000"/>
          <w:sz w:val="22"/>
          <w:szCs w:val="22"/>
        </w:rPr>
      </w:pPr>
      <w:r>
        <w:rPr>
          <w:color w:val="000000"/>
          <w:sz w:val="22"/>
          <w:szCs w:val="22"/>
        </w:rPr>
        <w:t>in caso di ritardo che si protrae per oltre 10 giorni l’Azienda U.L.SS. si riserva di risolvere il contratto con incameramento della cauzione. In tal caso l’Azienda U.L.SS. procederà ad ordinare la fornitura nel “libero mercato” e verranno altresì addebitati alla Ditta inadempiente i maggiori costi sostenuti dall’Azienda, per le quantità residue poste in gara;</w:t>
      </w:r>
    </w:p>
    <w:p w:rsidR="00065EFA" w:rsidRDefault="00A73CA4">
      <w:pPr>
        <w:widowControl w:val="0"/>
        <w:numPr>
          <w:ilvl w:val="0"/>
          <w:numId w:val="26"/>
        </w:numPr>
        <w:pBdr>
          <w:top w:val="nil"/>
          <w:left w:val="nil"/>
          <w:bottom w:val="nil"/>
          <w:right w:val="nil"/>
          <w:between w:val="nil"/>
        </w:pBdr>
        <w:jc w:val="both"/>
        <w:rPr>
          <w:color w:val="000000"/>
          <w:sz w:val="22"/>
          <w:szCs w:val="22"/>
        </w:rPr>
      </w:pPr>
      <w:r>
        <w:rPr>
          <w:color w:val="000000"/>
          <w:sz w:val="22"/>
          <w:szCs w:val="22"/>
        </w:rPr>
        <w:t>in caso di fornitura di prodotti difettosi, l’Azienda contesta i difetti ed invita la Ditta all’immediata sostituzione entro 24 ore;</w:t>
      </w:r>
    </w:p>
    <w:p w:rsidR="00065EFA" w:rsidRDefault="00A73CA4">
      <w:pPr>
        <w:widowControl w:val="0"/>
        <w:numPr>
          <w:ilvl w:val="0"/>
          <w:numId w:val="26"/>
        </w:numPr>
        <w:pBdr>
          <w:top w:val="nil"/>
          <w:left w:val="nil"/>
          <w:bottom w:val="nil"/>
          <w:right w:val="nil"/>
          <w:between w:val="nil"/>
        </w:pBdr>
        <w:jc w:val="both"/>
        <w:rPr>
          <w:color w:val="000000"/>
          <w:sz w:val="22"/>
          <w:szCs w:val="22"/>
        </w:rPr>
      </w:pPr>
      <w:bookmarkStart w:id="17" w:name="_heading=h.s74761zh2vba" w:colFirst="0" w:colLast="0"/>
      <w:bookmarkEnd w:id="17"/>
      <w:r>
        <w:rPr>
          <w:color w:val="000000"/>
          <w:sz w:val="22"/>
          <w:szCs w:val="22"/>
        </w:rPr>
        <w:t xml:space="preserve">nel caso in cui un prodotto offerto non fosse più disponibile (cessata produzione/commercializzazione, ecc.) la Ditta dovrà fornire un prodotto alternativo da utilizzare nel sistema in uso, senza causare l’interruzione del servizio e previa valutazione </w:t>
      </w:r>
      <w:proofErr w:type="spellStart"/>
      <w:r>
        <w:rPr>
          <w:color w:val="000000"/>
          <w:sz w:val="22"/>
          <w:szCs w:val="22"/>
        </w:rPr>
        <w:t>ed</w:t>
      </w:r>
      <w:proofErr w:type="spellEnd"/>
      <w:r>
        <w:rPr>
          <w:color w:val="000000"/>
          <w:sz w:val="22"/>
          <w:szCs w:val="22"/>
        </w:rPr>
        <w:t xml:space="preserve"> autorizzazione da parte del Direttore dell’U.O. di riferimento; in caso di mancata messa a disposizione del prodotto alternativo sarà dovuta per ogni giorno di ritardo una penale pari ad € 50,00; in caso di ritardo che si protrae per oltre 10 giorni l’Azienda U.L.SS. si riserva di risolvere il contratto con incameramento della cauzione. In tal caso l’Azienda U.L.SS. procederà ad ordinare la fornitura nel “libero mercato” e verranno altresì addebitati alla Ditta inadempiente i maggiori costi sostenuti dall’Azienda per le quantità residue poste in gara. </w:t>
      </w:r>
    </w:p>
    <w:p w:rsidR="00065EFA" w:rsidRDefault="00065EFA">
      <w:pPr>
        <w:pBdr>
          <w:top w:val="nil"/>
          <w:left w:val="nil"/>
          <w:bottom w:val="nil"/>
          <w:right w:val="nil"/>
          <w:between w:val="nil"/>
        </w:pBdr>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color w:val="000000"/>
          <w:sz w:val="22"/>
          <w:szCs w:val="22"/>
          <w:u w:val="single"/>
        </w:rPr>
        <w:t>In relazione alla consegna e alla manutenzione dell’attrezzatura</w:t>
      </w:r>
      <w:r>
        <w:rPr>
          <w:color w:val="000000"/>
          <w:sz w:val="22"/>
          <w:szCs w:val="22"/>
        </w:rPr>
        <w:t>, saranno applicate le penali pari all’0.3 per mille dell’importo contrattuale:</w:t>
      </w:r>
    </w:p>
    <w:p w:rsidR="00065EFA" w:rsidRDefault="00A73CA4">
      <w:pPr>
        <w:widowControl w:val="0"/>
        <w:numPr>
          <w:ilvl w:val="0"/>
          <w:numId w:val="4"/>
        </w:numPr>
        <w:pBdr>
          <w:top w:val="nil"/>
          <w:left w:val="nil"/>
          <w:bottom w:val="nil"/>
          <w:right w:val="nil"/>
          <w:between w:val="nil"/>
        </w:pBdr>
        <w:jc w:val="both"/>
        <w:rPr>
          <w:color w:val="000000"/>
          <w:sz w:val="22"/>
          <w:szCs w:val="22"/>
        </w:rPr>
      </w:pPr>
      <w:r>
        <w:rPr>
          <w:color w:val="000000"/>
          <w:sz w:val="22"/>
          <w:szCs w:val="22"/>
        </w:rPr>
        <w:t>in caso di ritardo nella consegna e collaudo per ogni giorno di ritardo;</w:t>
      </w:r>
    </w:p>
    <w:p w:rsidR="00065EFA" w:rsidRDefault="00A73CA4">
      <w:pPr>
        <w:widowControl w:val="0"/>
        <w:numPr>
          <w:ilvl w:val="0"/>
          <w:numId w:val="3"/>
        </w:numPr>
        <w:pBdr>
          <w:top w:val="nil"/>
          <w:left w:val="nil"/>
          <w:bottom w:val="nil"/>
          <w:right w:val="nil"/>
          <w:between w:val="nil"/>
        </w:pBdr>
        <w:ind w:left="851"/>
        <w:jc w:val="both"/>
        <w:rPr>
          <w:color w:val="000000"/>
          <w:sz w:val="22"/>
          <w:szCs w:val="22"/>
        </w:rPr>
      </w:pPr>
      <w:r>
        <w:rPr>
          <w:color w:val="000000"/>
          <w:sz w:val="22"/>
          <w:szCs w:val="22"/>
        </w:rPr>
        <w:t>in caso di ritardo negli interventi di manutenzione straordinaria, per ogni giorno di ritardo;</w:t>
      </w:r>
    </w:p>
    <w:p w:rsidR="00065EFA" w:rsidRDefault="00A73CA4">
      <w:pPr>
        <w:widowControl w:val="0"/>
        <w:numPr>
          <w:ilvl w:val="0"/>
          <w:numId w:val="3"/>
        </w:numPr>
        <w:pBdr>
          <w:top w:val="nil"/>
          <w:left w:val="nil"/>
          <w:bottom w:val="nil"/>
          <w:right w:val="nil"/>
          <w:between w:val="nil"/>
        </w:pBdr>
        <w:ind w:left="851"/>
        <w:jc w:val="both"/>
        <w:rPr>
          <w:color w:val="000000"/>
          <w:sz w:val="22"/>
          <w:szCs w:val="22"/>
        </w:rPr>
      </w:pPr>
      <w:r>
        <w:rPr>
          <w:color w:val="000000"/>
          <w:sz w:val="22"/>
          <w:szCs w:val="22"/>
        </w:rPr>
        <w:t>in caso di ritardo negli interventi di manutenzione ordinaria, per ogni giorno di ritardo;</w:t>
      </w:r>
    </w:p>
    <w:p w:rsidR="00065EFA" w:rsidRDefault="00A73CA4">
      <w:pPr>
        <w:widowControl w:val="0"/>
        <w:numPr>
          <w:ilvl w:val="0"/>
          <w:numId w:val="3"/>
        </w:numPr>
        <w:pBdr>
          <w:top w:val="nil"/>
          <w:left w:val="nil"/>
          <w:bottom w:val="nil"/>
          <w:right w:val="nil"/>
          <w:between w:val="nil"/>
        </w:pBdr>
        <w:ind w:left="851"/>
        <w:jc w:val="both"/>
        <w:rPr>
          <w:color w:val="000000"/>
          <w:sz w:val="22"/>
          <w:szCs w:val="22"/>
        </w:rPr>
      </w:pPr>
      <w:r>
        <w:rPr>
          <w:color w:val="000000"/>
          <w:sz w:val="22"/>
          <w:szCs w:val="22"/>
        </w:rPr>
        <w:t>in caso di incompletezza nell’assistenza tecnica, per ogni giorno di mancato completamento dell’intervento;</w:t>
      </w:r>
    </w:p>
    <w:p w:rsidR="00065EFA" w:rsidRDefault="00A73CA4">
      <w:pPr>
        <w:widowControl w:val="0"/>
        <w:numPr>
          <w:ilvl w:val="0"/>
          <w:numId w:val="3"/>
        </w:numPr>
        <w:pBdr>
          <w:top w:val="nil"/>
          <w:left w:val="nil"/>
          <w:bottom w:val="nil"/>
          <w:right w:val="nil"/>
          <w:between w:val="nil"/>
        </w:pBdr>
        <w:ind w:left="851"/>
        <w:jc w:val="both"/>
        <w:rPr>
          <w:color w:val="000000"/>
          <w:sz w:val="22"/>
          <w:szCs w:val="22"/>
        </w:rPr>
      </w:pPr>
      <w:r>
        <w:rPr>
          <w:color w:val="000000"/>
          <w:sz w:val="22"/>
          <w:szCs w:val="22"/>
        </w:rPr>
        <w:t>in caso di inosservanza, anche lieve o parziale, di tutti gli altri obblighi contrattuali e delle norme del Codice Civile in genere.</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center"/>
        <w:rPr>
          <w:color w:val="000000"/>
          <w:sz w:val="22"/>
          <w:szCs w:val="22"/>
        </w:rPr>
      </w:pPr>
      <w:r>
        <w:rPr>
          <w:color w:val="000000"/>
          <w:sz w:val="22"/>
          <w:szCs w:val="22"/>
        </w:rPr>
        <w:lastRenderedPageBreak/>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b/>
          <w:bCs/>
          <w:smallCaps/>
          <w:color w:val="000000"/>
          <w:sz w:val="22"/>
          <w:szCs w:val="22"/>
        </w:rPr>
        <w:t>PROCEDIMENTO CONTESTAZIONE E APPLICAZIONE PENALI</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Gli eventuali inadempimenti contrattuali che daranno luogo all’applicazione delle penali stabilite nel presente documento, ovvero alla risoluzione del contratto, saranno contestati all’Appaltatore per iscritto dalla Stazione Appaltante, tramite PEC o raccomandata A.R. L’Appaltatore dovrà comunicare alla Stazione Appaltante, per iscritto, tramite PEC o raccomandata A.R., le proprie controdeduzioni, supportate da una chiara ed esauriente documentazione, nel termine massimo di 10 (dieci) giorni lavorativi dalla ricezione della contestazione stessa. </w:t>
      </w:r>
    </w:p>
    <w:p w:rsidR="00065EFA" w:rsidRDefault="00A73CA4">
      <w:pPr>
        <w:pBdr>
          <w:top w:val="nil"/>
          <w:left w:val="nil"/>
          <w:bottom w:val="nil"/>
          <w:right w:val="nil"/>
          <w:between w:val="nil"/>
        </w:pBdr>
        <w:jc w:val="both"/>
        <w:rPr>
          <w:color w:val="000000"/>
          <w:sz w:val="22"/>
          <w:szCs w:val="22"/>
        </w:rPr>
      </w:pPr>
      <w:r>
        <w:rPr>
          <w:color w:val="000000"/>
          <w:sz w:val="22"/>
          <w:szCs w:val="22"/>
        </w:rPr>
        <w:t>Qualora le controdeduzioni rappresentate non pervengano alla Stazione Appaltante nel termine indicato, ovvero, pur essendo pervenute tempestivamente, non siano idonee, a giudizio della Stazione Appaltante, a giustificare l’inadempimento, la Stazione Appaltante procederà all’applicazione delle penali a decorrere dall’inizio dell’inadempimento o darà corso alla risoluzione del contratto.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L’Appaltatore dovrà effettuare il pagamento delle penali entro 60 gg. dalla comunicazione, trascorsi i quali, l’incameramento di quanto dovuto a titolo di penale avverrà, in via prioritaria sulla prima fattura in scadenza e, se non sufficiente, mediante ritenzione sulle somme spettanti all’Appaltatore - in esecuzione del rapporto intrattenuto con l’Azienda o a qualsiasi altro titolo dovute – e/o sulla garanzia definitiva. Nel caso di incameramento totale o parziale della garanzia definitiva, l’Appaltatore dovrà provvedere alla ricostituzione della stessa nel suo originario ammontare, salve le eventuali somme svincolate automaticamente, in relazione all’avanzamento dell’esecuzione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richiesta e/o pagamento delle penali di cui al presente articolo, non esonera l’Appaltatore dall’adempimento dell’obbligazione per la quale si è reso inadempiente e che ha fatto sorgere l’obbligo del pagamento della penale medesima.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L’Appaltatore prende atto che l’applicazione delle penali previste dal presente documento non preclude il diritto dell’Azienda Sanitaria a richiedere il risarcimento degli eventuali maggior danni subiti.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Per le suddette penali verranno emesse apposite note di addebito.</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Perdurando l’inosservanza di pattuizioni di contratto, la Stazione Appaltante potrà dichiarare risolto il contratto stesso a proprio insindacabile giudizio, applicando le penali salvo il risarcimento del maggior danno. In ogni caso, qualora gli inadempimenti determinino un importo massimo delle penali superiori al 10% dell’importo contrattuale il contratto potrà essere risolto per grave inadempimento con esecuzione in danno dell’Appaltatore inadempiente, in conformità a quanto disposto dall’art. 126 del d.lgs. 36/2023.</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 xml:space="preserve">RISOLUZIONE DEL CONTRATTO </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L’Azienda Sanitaria, in caso di grave irregolarità o frode accertata nella fornitura potrà, avvalendosi della facoltà di cui all’art. 1456 C.C. e previa comunicazione scritta al fornitore da effettuarsi a mezzo raccomandata A.R., risolvere di diritto il contratto nei seguenti casi:</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in caso di frode, di grave negligenza, di contravvenzione nell’esecuzione degli obblighi e delle condizioni contrattuali e di mancata reintegrazione del deposito cauzionale;</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nel caso di reiterati ritardi rispetto ai termini previsti dal contratto;</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nel caso in cui fosse accertata la non veridicità delle dichiarazioni presentate dal fornitore nel corso della procedura di gara;</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in caso di perdita, da parte del fornitore, dei requisiti richiesti dal capitolato speciale di gara, relativamente alle procedure ad evidenza pubblica;</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in caso di cessione del contratto o subappalto non autorizzati;</w:t>
      </w:r>
    </w:p>
    <w:p w:rsidR="00065EFA" w:rsidRDefault="00A73CA4">
      <w:pPr>
        <w:widowControl w:val="0"/>
        <w:numPr>
          <w:ilvl w:val="0"/>
          <w:numId w:val="21"/>
        </w:numPr>
        <w:pBdr>
          <w:top w:val="nil"/>
          <w:left w:val="nil"/>
          <w:bottom w:val="nil"/>
          <w:right w:val="nil"/>
          <w:between w:val="nil"/>
        </w:pBdr>
        <w:jc w:val="both"/>
        <w:rPr>
          <w:color w:val="000000"/>
          <w:sz w:val="22"/>
          <w:szCs w:val="22"/>
        </w:rPr>
      </w:pPr>
      <w:r>
        <w:rPr>
          <w:color w:val="000000"/>
          <w:sz w:val="22"/>
          <w:szCs w:val="22"/>
        </w:rPr>
        <w:t>in caso di inottemperanza alle disposizioni relative alla tracciabilità dei flussi finanziari di cui alla L. 136/2010.</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La risoluzione del contratto non si estende alle prestazioni già eseguite. Con la risoluzione del contratto sorge per l’Azienda Sanitaria il diritto di affidare a terzi la fornitura o la parte rimanente di questa, in danno all’impresa inadempiente. All’impresa inadempiente sono addebitate le spese sostenute in più dall’Azienda Sanitaria rispetto a quelle previste dal contratto risolto. Le somme necessarie sono prelevate dal deposito cauzionale mediante incameramento del medesimo e, ove questo non sia sufficiente, da eventuali crediti dell’impresa, fatto salvo il diritto di agire per gli eventuali maggiori danni subiti. Nel caso di minor spesa nulla spetta all’impresa inadempiente. Per quanto non previsto dal presente articolo, si applicano le disposizioni di cui al Codice Civile in materia di risoluzione e di recesso del contratto.</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RISOLUZIONE DEL CONTRATTO IN CASO DI VIOLAZIONE DEGLI OBBLIGHI PREVISTI DAL CODICE DI CONDOTTA DEI DIPENDENTI PUBBLICI, DI CUI AL D.P.R. 62/2013</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I collaboratori a qualsiasi titolo dell’aggiudicataria che effettueranno prestazioni e/o realizzeranno opere e/o svolgeranno servizi e/o forniture a favore della stazione appaltante devono adempiere agli obblighi previsti dal codice di condotta dei dipendenti pubblici.</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La violazione degli obblighi derivanti da detto codice costituisce causa di risoluzione del contratto ai sensi e per gli effetti dell’art. 2, comma 3, D.P.R. 62/2013.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FORO COMPETENTE</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Per le eventuali controversie che dovessero insorgere tra le parti in relazione alla interpretazione, esecuzione e risoluzione del contratto sarà esclusivamente competente il Foro di Vicenza.</w:t>
      </w:r>
    </w:p>
    <w:p w:rsidR="00065EFA" w:rsidRDefault="00A73CA4">
      <w:pPr>
        <w:widowControl w:val="0"/>
        <w:pBdr>
          <w:top w:val="nil"/>
          <w:left w:val="nil"/>
          <w:bottom w:val="nil"/>
          <w:right w:val="nil"/>
          <w:between w:val="nil"/>
        </w:pBdr>
        <w:jc w:val="both"/>
        <w:rPr>
          <w:color w:val="000000"/>
          <w:sz w:val="22"/>
          <w:szCs w:val="22"/>
        </w:rPr>
      </w:pPr>
      <w:r>
        <w:rPr>
          <w:color w:val="000000"/>
          <w:sz w:val="22"/>
          <w:szCs w:val="22"/>
        </w:rPr>
        <w:t xml:space="preserve">In ogni caso, nelle more d’eventuale giudizio dell’autorità giudiziaria, la Ditta appaltatrice non potrà sospendere o interrompere la fornitura pena l’incameramento della cauzione definitiva posta a garanzia della fornitura e fatta salva la possibilità della S.A. di rivalersi per gli eventuali ulteriori danni subiti. </w:t>
      </w:r>
    </w:p>
    <w:p w:rsidR="00065EFA" w:rsidRDefault="00065EFA">
      <w:pPr>
        <w:widowControl w:val="0"/>
        <w:pBdr>
          <w:top w:val="nil"/>
          <w:left w:val="nil"/>
          <w:bottom w:val="nil"/>
          <w:right w:val="nil"/>
          <w:between w:val="nil"/>
        </w:pBdr>
        <w:jc w:val="both"/>
        <w:rPr>
          <w:color w:val="000000"/>
          <w:sz w:val="22"/>
          <w:szCs w:val="22"/>
        </w:rPr>
      </w:pPr>
    </w:p>
    <w:p w:rsidR="00065EFA" w:rsidRDefault="00A73CA4">
      <w:pPr>
        <w:widowControl w:val="0"/>
        <w:pBdr>
          <w:top w:val="nil"/>
          <w:left w:val="nil"/>
          <w:bottom w:val="nil"/>
          <w:right w:val="nil"/>
          <w:between w:val="nil"/>
        </w:pBdr>
        <w:jc w:val="both"/>
        <w:rPr>
          <w:color w:val="000000"/>
          <w:sz w:val="22"/>
          <w:szCs w:val="22"/>
        </w:rPr>
      </w:pPr>
      <w:r>
        <w:rPr>
          <w:b/>
          <w:bCs/>
          <w:color w:val="000000"/>
          <w:sz w:val="22"/>
          <w:szCs w:val="22"/>
        </w:rPr>
        <w:t>TRATTAMENTO DEI DATI PERSONALI</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 dati riguardanti l’appaltatore, il subappaltatore o i soggetti in </w:t>
      </w:r>
      <w:proofErr w:type="spellStart"/>
      <w:r>
        <w:rPr>
          <w:color w:val="000000"/>
          <w:sz w:val="22"/>
          <w:szCs w:val="22"/>
        </w:rPr>
        <w:t>subaffidamento</w:t>
      </w:r>
      <w:proofErr w:type="spellEnd"/>
      <w:r>
        <w:rPr>
          <w:color w:val="000000"/>
          <w:sz w:val="22"/>
          <w:szCs w:val="22"/>
        </w:rPr>
        <w:t xml:space="preserve"> vengono trattati secondo quanto previsto dal </w:t>
      </w:r>
      <w:proofErr w:type="spellStart"/>
      <w:r>
        <w:rPr>
          <w:color w:val="000000"/>
          <w:sz w:val="22"/>
          <w:szCs w:val="22"/>
        </w:rPr>
        <w:t>D.lgs</w:t>
      </w:r>
      <w:proofErr w:type="spellEnd"/>
      <w:r>
        <w:rPr>
          <w:color w:val="000000"/>
          <w:sz w:val="22"/>
          <w:szCs w:val="22"/>
        </w:rPr>
        <w:t xml:space="preserve"> 196/2003 e </w:t>
      </w:r>
      <w:proofErr w:type="spellStart"/>
      <w:proofErr w:type="gramStart"/>
      <w:r>
        <w:rPr>
          <w:color w:val="000000"/>
          <w:sz w:val="22"/>
          <w:szCs w:val="22"/>
        </w:rPr>
        <w:t>ss.mm.ii</w:t>
      </w:r>
      <w:proofErr w:type="spellEnd"/>
      <w:proofErr w:type="gramEnd"/>
      <w:r>
        <w:rPr>
          <w:color w:val="000000"/>
          <w:sz w:val="22"/>
          <w:szCs w:val="22"/>
        </w:rPr>
        <w:t>, dal Regolamento UE 2016/679 (GDPR) e dal Regolamento dell’Azienda ULSS 8 in materia di protezione dei dati personali. Il Committente rilascia, pertanto, all’Appaltatore l’informativa di cui agli artt. 13 e 14 del Regolamento UE 2016/679.</w:t>
      </w:r>
    </w:p>
    <w:p w:rsidR="00065EFA" w:rsidRDefault="00A73CA4">
      <w:pPr>
        <w:pBdr>
          <w:top w:val="nil"/>
          <w:left w:val="nil"/>
          <w:bottom w:val="nil"/>
          <w:right w:val="nil"/>
          <w:between w:val="nil"/>
        </w:pBdr>
        <w:jc w:val="both"/>
        <w:rPr>
          <w:color w:val="000000"/>
          <w:sz w:val="22"/>
          <w:szCs w:val="22"/>
        </w:rPr>
      </w:pPr>
      <w:r>
        <w:rPr>
          <w:color w:val="000000"/>
          <w:sz w:val="22"/>
          <w:szCs w:val="22"/>
        </w:rPr>
        <w:t>I dati riguardanti l’Appaltatore sono forniti dallo stesso o acquisiti dalle banche dati dell’ANAC o di altri Enti Pubblici.</w:t>
      </w:r>
    </w:p>
    <w:p w:rsidR="00065EFA" w:rsidRDefault="00A73CA4">
      <w:pPr>
        <w:pBdr>
          <w:top w:val="nil"/>
          <w:left w:val="nil"/>
          <w:bottom w:val="nil"/>
          <w:right w:val="nil"/>
          <w:between w:val="nil"/>
        </w:pBdr>
        <w:jc w:val="both"/>
        <w:rPr>
          <w:color w:val="000000"/>
          <w:sz w:val="22"/>
          <w:szCs w:val="22"/>
        </w:rPr>
      </w:pPr>
      <w:r>
        <w:rPr>
          <w:color w:val="000000"/>
          <w:sz w:val="22"/>
          <w:szCs w:val="22"/>
        </w:rPr>
        <w:t>Il Titolare del trattamento dei dati è l’</w:t>
      </w:r>
      <w:proofErr w:type="spellStart"/>
      <w:r>
        <w:rPr>
          <w:color w:val="000000"/>
          <w:sz w:val="22"/>
          <w:szCs w:val="22"/>
        </w:rPr>
        <w:t>Aulss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xml:space="preserve">, Viale </w:t>
      </w:r>
      <w:proofErr w:type="spellStart"/>
      <w:r>
        <w:rPr>
          <w:color w:val="000000"/>
          <w:sz w:val="22"/>
          <w:szCs w:val="22"/>
        </w:rPr>
        <w:t>Rodolfi</w:t>
      </w:r>
      <w:proofErr w:type="spellEnd"/>
      <w:r>
        <w:rPr>
          <w:color w:val="000000"/>
          <w:sz w:val="22"/>
          <w:szCs w:val="22"/>
        </w:rPr>
        <w:t xml:space="preserve">, 37 -36100 Vicenza, nella persona del Direttore Generale, PEC: protocollo.centrale.aulss8@pecveneto.it, e-mail: direzione.generale@aulss8.veneto.it; il Responsabile della protezione dei dati è LTA </w:t>
      </w:r>
      <w:proofErr w:type="spellStart"/>
      <w:r>
        <w:rPr>
          <w:color w:val="000000"/>
          <w:sz w:val="22"/>
          <w:szCs w:val="22"/>
        </w:rPr>
        <w:t>Srl</w:t>
      </w:r>
      <w:proofErr w:type="spellEnd"/>
      <w:r>
        <w:rPr>
          <w:color w:val="000000"/>
          <w:sz w:val="22"/>
          <w:szCs w:val="22"/>
        </w:rPr>
        <w:t>, E-mail: rpd@aulss8.veneto.it.</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trattamento dei dati avviene sulla base di quanto previsto dalla normativa sui Contratti pubblici, </w:t>
      </w:r>
      <w:proofErr w:type="spellStart"/>
      <w:r>
        <w:rPr>
          <w:color w:val="000000"/>
          <w:sz w:val="22"/>
          <w:szCs w:val="22"/>
        </w:rPr>
        <w:t>D.lgs</w:t>
      </w:r>
      <w:proofErr w:type="spellEnd"/>
      <w:r>
        <w:rPr>
          <w:color w:val="000000"/>
          <w:sz w:val="22"/>
          <w:szCs w:val="22"/>
        </w:rPr>
        <w:t xml:space="preserve"> 36/2023 e norme collegate.</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trattamento è finalizzato all’espletamento della procedura di gara, alla sottoscrizione e all’esecuzione del contratto e alla tutela in giudizio della Stazione Appaltante per azioni nelle quali l’Azienda medesima risultasse a qualsiasi titolo coinvolta. I dati, in misura strettamente necessaria, sono trattati altresì al fine di consentire l’accesso agli atti di cui all’art. 22 e ss. della L. 241/1990, e l’adempimento degli obblighi di pubblicità, trasparenza e diffusione di informazioni da parte delle pubbliche amministrazioni di cui al </w:t>
      </w:r>
      <w:proofErr w:type="spellStart"/>
      <w:r>
        <w:rPr>
          <w:color w:val="000000"/>
          <w:sz w:val="22"/>
          <w:szCs w:val="22"/>
        </w:rPr>
        <w:t>D.lgs</w:t>
      </w:r>
      <w:proofErr w:type="spellEnd"/>
      <w:r>
        <w:rPr>
          <w:color w:val="000000"/>
          <w:sz w:val="22"/>
          <w:szCs w:val="22"/>
        </w:rPr>
        <w:t xml:space="preserve"> 33/2013.</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 destinatari dei dati sono l’Azienda </w:t>
      </w:r>
      <w:proofErr w:type="spellStart"/>
      <w:r>
        <w:rPr>
          <w:color w:val="000000"/>
          <w:sz w:val="22"/>
          <w:szCs w:val="22"/>
        </w:rPr>
        <w:t>Ulss</w:t>
      </w:r>
      <w:proofErr w:type="spellEnd"/>
      <w:r>
        <w:rPr>
          <w:color w:val="000000"/>
          <w:sz w:val="22"/>
          <w:szCs w:val="22"/>
        </w:rPr>
        <w:t xml:space="preserve"> 8 </w:t>
      </w:r>
      <w:proofErr w:type="spellStart"/>
      <w:r>
        <w:rPr>
          <w:color w:val="000000"/>
          <w:sz w:val="22"/>
          <w:szCs w:val="22"/>
        </w:rPr>
        <w:t>Berica</w:t>
      </w:r>
      <w:proofErr w:type="spellEnd"/>
      <w:r>
        <w:rPr>
          <w:color w:val="000000"/>
          <w:sz w:val="22"/>
          <w:szCs w:val="22"/>
        </w:rPr>
        <w:t>, l’Autorità nazionale anticorruzione, le Prefetture, i Tribunali, l’Agenzia per le entrate, i Centri per l’impiego, INPS, INAIL o enti assistenziali o previdenziali equivalenti ed altri enti pubblici coinvolti nel procedimento di aggiudicazione ed esecuzione dell’appalto, i soggetti che facciano istanza di accesso agli atti ex art. 22 L. 241/1990 e gli utenti che prendano visione del sito aziendale www. Aulss8.veneto.it.</w:t>
      </w:r>
    </w:p>
    <w:p w:rsidR="00065EFA" w:rsidRDefault="00A73CA4">
      <w:pPr>
        <w:pBdr>
          <w:top w:val="nil"/>
          <w:left w:val="nil"/>
          <w:bottom w:val="nil"/>
          <w:right w:val="nil"/>
          <w:between w:val="nil"/>
        </w:pBdr>
        <w:jc w:val="both"/>
        <w:rPr>
          <w:color w:val="000000"/>
          <w:sz w:val="22"/>
          <w:szCs w:val="22"/>
        </w:rPr>
      </w:pPr>
      <w:r>
        <w:rPr>
          <w:color w:val="000000"/>
          <w:sz w:val="22"/>
          <w:szCs w:val="22"/>
        </w:rPr>
        <w:t>I dati saranno conservati dalla data dell’acquisizione e per dieci anni dalla conclusione dell’esecuzione del contratto e, in ogni caso, per il periodo necessario per la tutela in giudizio della Stazione Appaltante, in caso di azioni legali.</w:t>
      </w:r>
    </w:p>
    <w:p w:rsidR="00065EFA" w:rsidRDefault="00A73CA4">
      <w:pPr>
        <w:pBdr>
          <w:top w:val="nil"/>
          <w:left w:val="nil"/>
          <w:bottom w:val="nil"/>
          <w:right w:val="nil"/>
          <w:between w:val="nil"/>
        </w:pBdr>
        <w:jc w:val="both"/>
        <w:rPr>
          <w:color w:val="000000"/>
          <w:sz w:val="22"/>
          <w:szCs w:val="22"/>
        </w:rPr>
      </w:pPr>
      <w:r>
        <w:rPr>
          <w:color w:val="000000"/>
          <w:sz w:val="22"/>
          <w:szCs w:val="22"/>
        </w:rPr>
        <w:t>Al titolare dei dati è riconosciuto in ogni momento il diritto di chiedere al titolare del trattamento l’accesso ai dati personali e la rettifica degli stessi. Il conferimento dei dati è obbligatorio e necessario. Il mancato conferimento dei dati comporta l’impossibilità di sottoscrivere il contratto.</w:t>
      </w:r>
    </w:p>
    <w:p w:rsidR="00065EFA" w:rsidRDefault="00065EFA">
      <w:pPr>
        <w:pBdr>
          <w:top w:val="nil"/>
          <w:left w:val="nil"/>
          <w:bottom w:val="nil"/>
          <w:right w:val="nil"/>
          <w:between w:val="nil"/>
        </w:pBdr>
        <w:rPr>
          <w:color w:val="000000"/>
          <w:sz w:val="22"/>
          <w:szCs w:val="22"/>
        </w:rPr>
      </w:pPr>
    </w:p>
    <w:p w:rsidR="00065EFA" w:rsidRDefault="00A73CA4">
      <w:pPr>
        <w:pBdr>
          <w:top w:val="nil"/>
          <w:left w:val="nil"/>
          <w:bottom w:val="nil"/>
          <w:right w:val="nil"/>
          <w:between w:val="nil"/>
        </w:pBdr>
        <w:rPr>
          <w:color w:val="000000"/>
          <w:sz w:val="22"/>
          <w:szCs w:val="22"/>
        </w:rPr>
      </w:pPr>
      <w:r>
        <w:rPr>
          <w:b/>
          <w:bCs/>
          <w:color w:val="000000"/>
          <w:sz w:val="22"/>
          <w:szCs w:val="22"/>
        </w:rPr>
        <w:t>NORME E CONDIZIONI FINALI</w:t>
      </w:r>
    </w:p>
    <w:p w:rsidR="00065EFA" w:rsidRDefault="00A73CA4">
      <w:pPr>
        <w:pBdr>
          <w:top w:val="nil"/>
          <w:left w:val="nil"/>
          <w:bottom w:val="nil"/>
          <w:right w:val="nil"/>
          <w:between w:val="nil"/>
        </w:pBdr>
        <w:jc w:val="both"/>
        <w:rPr>
          <w:color w:val="000000"/>
          <w:sz w:val="22"/>
          <w:szCs w:val="22"/>
        </w:rPr>
      </w:pPr>
      <w:r>
        <w:rPr>
          <w:color w:val="000000"/>
          <w:sz w:val="22"/>
          <w:szCs w:val="22"/>
        </w:rPr>
        <w:t>La formulazione dell’offerta è impegnativa per la Ditta, mentre non obbliga in alcun modo l’Azienda U.L.SS. all’assegnazione della fornitura.</w:t>
      </w:r>
    </w:p>
    <w:p w:rsidR="00065EFA" w:rsidRDefault="00A73CA4">
      <w:pPr>
        <w:pBdr>
          <w:top w:val="nil"/>
          <w:left w:val="nil"/>
          <w:bottom w:val="nil"/>
          <w:right w:val="nil"/>
          <w:between w:val="nil"/>
        </w:pBdr>
        <w:jc w:val="both"/>
        <w:rPr>
          <w:color w:val="000000"/>
          <w:sz w:val="22"/>
          <w:szCs w:val="22"/>
        </w:rPr>
      </w:pPr>
      <w:r>
        <w:rPr>
          <w:color w:val="000000"/>
          <w:sz w:val="22"/>
          <w:szCs w:val="22"/>
        </w:rPr>
        <w:t>Non saranno accettate offerte che non rispettino le indicazioni, le precisazioni e le modalità, per la formulazione delle offerte previste nel presente disciplinare, oppure che risultino equivoche, difformi dalla richiesta e condizionate a clausole non previste dal presente disciplinare.</w:t>
      </w:r>
    </w:p>
    <w:p w:rsidR="00065EFA" w:rsidRDefault="00A73CA4">
      <w:pPr>
        <w:pBdr>
          <w:top w:val="nil"/>
          <w:left w:val="nil"/>
          <w:bottom w:val="nil"/>
          <w:right w:val="nil"/>
          <w:between w:val="nil"/>
        </w:pBdr>
        <w:jc w:val="both"/>
        <w:rPr>
          <w:color w:val="000000"/>
          <w:sz w:val="22"/>
          <w:szCs w:val="22"/>
        </w:rPr>
      </w:pPr>
      <w:r>
        <w:rPr>
          <w:color w:val="000000"/>
          <w:sz w:val="22"/>
          <w:szCs w:val="22"/>
        </w:rPr>
        <w:lastRenderedPageBreak/>
        <w:t>L'Azienda U.L.SS. n. 8 “</w:t>
      </w:r>
      <w:proofErr w:type="spellStart"/>
      <w:r>
        <w:rPr>
          <w:color w:val="000000"/>
          <w:sz w:val="22"/>
          <w:szCs w:val="22"/>
        </w:rPr>
        <w:t>Berica</w:t>
      </w:r>
      <w:proofErr w:type="spellEnd"/>
      <w:r>
        <w:rPr>
          <w:color w:val="000000"/>
          <w:sz w:val="22"/>
          <w:szCs w:val="22"/>
        </w:rPr>
        <w:t>" si riserva in ogni caso la facoltà di sospendere, revocare, modificare, oppure di riaprire i termini della presente gara con provvedimento motivato, senza che le Ditte partecipanti possano vantare diritti o pretese di qualsiasi genere e natura, fatta salva la motivazione, se richiesta.</w:t>
      </w:r>
    </w:p>
    <w:p w:rsidR="00065EFA" w:rsidRDefault="00A73CA4">
      <w:pPr>
        <w:pBdr>
          <w:top w:val="nil"/>
          <w:left w:val="nil"/>
          <w:bottom w:val="nil"/>
          <w:right w:val="nil"/>
          <w:between w:val="nil"/>
        </w:pBdr>
        <w:jc w:val="both"/>
        <w:rPr>
          <w:color w:val="000000"/>
          <w:sz w:val="22"/>
          <w:szCs w:val="22"/>
        </w:rPr>
      </w:pPr>
      <w:r>
        <w:rPr>
          <w:color w:val="000000"/>
          <w:sz w:val="22"/>
          <w:szCs w:val="22"/>
        </w:rPr>
        <w:t>Si evidenzia che il contratto non conterrà la clausola compromissoria.</w:t>
      </w:r>
    </w:p>
    <w:p w:rsidR="00065EFA" w:rsidRDefault="00A73CA4">
      <w:pPr>
        <w:pBdr>
          <w:top w:val="nil"/>
          <w:left w:val="nil"/>
          <w:bottom w:val="nil"/>
          <w:right w:val="nil"/>
          <w:between w:val="nil"/>
        </w:pBdr>
        <w:jc w:val="both"/>
        <w:rPr>
          <w:color w:val="000000"/>
          <w:sz w:val="22"/>
          <w:szCs w:val="22"/>
        </w:rPr>
      </w:pPr>
      <w:r>
        <w:rPr>
          <w:color w:val="000000"/>
          <w:sz w:val="22"/>
          <w:szCs w:val="22"/>
        </w:rPr>
        <w:t>Per qualsiasi aspetto non disciplinato espressamente nella presente richiesta di offerta, valgono le norme vigenti in materia di pubbliche forniture, nonché le norme del Codice Civile in materia di obbligazioni e contratti.</w:t>
      </w:r>
    </w:p>
    <w:p w:rsidR="00065EFA" w:rsidRDefault="00A73CA4">
      <w:pPr>
        <w:pBdr>
          <w:top w:val="nil"/>
          <w:left w:val="nil"/>
          <w:bottom w:val="nil"/>
          <w:right w:val="nil"/>
          <w:between w:val="nil"/>
        </w:pBdr>
        <w:jc w:val="both"/>
        <w:rPr>
          <w:color w:val="000000"/>
          <w:sz w:val="22"/>
          <w:szCs w:val="22"/>
        </w:rPr>
      </w:pPr>
      <w:r>
        <w:rPr>
          <w:color w:val="000000"/>
          <w:sz w:val="22"/>
          <w:szCs w:val="22"/>
        </w:rPr>
        <w:t xml:space="preserve">Il Responsabile della procedura di affidamento della presente gara è il Direttore del Servizio Provveditorato dott. Sandro </w:t>
      </w:r>
      <w:proofErr w:type="spellStart"/>
      <w:r>
        <w:rPr>
          <w:color w:val="000000"/>
          <w:sz w:val="22"/>
          <w:szCs w:val="22"/>
        </w:rPr>
        <w:t>Possamai</w:t>
      </w:r>
      <w:proofErr w:type="spellEnd"/>
      <w:r>
        <w:rPr>
          <w:color w:val="000000"/>
          <w:sz w:val="22"/>
          <w:szCs w:val="22"/>
        </w:rPr>
        <w:t>.</w:t>
      </w:r>
    </w:p>
    <w:p w:rsidR="00065EFA" w:rsidRDefault="00065EFA">
      <w:pPr>
        <w:pBdr>
          <w:top w:val="nil"/>
          <w:left w:val="nil"/>
          <w:bottom w:val="nil"/>
          <w:right w:val="nil"/>
          <w:between w:val="nil"/>
        </w:pBdr>
        <w:jc w:val="both"/>
        <w:rPr>
          <w:color w:val="000000"/>
          <w:sz w:val="22"/>
          <w:szCs w:val="22"/>
        </w:rPr>
      </w:pPr>
    </w:p>
    <w:p w:rsidR="00065EFA" w:rsidRDefault="00A73CA4">
      <w:pPr>
        <w:pBdr>
          <w:top w:val="nil"/>
          <w:left w:val="nil"/>
          <w:bottom w:val="nil"/>
          <w:right w:val="nil"/>
          <w:between w:val="nil"/>
        </w:pBdr>
        <w:jc w:val="both"/>
        <w:rPr>
          <w:color w:val="000000"/>
          <w:sz w:val="22"/>
          <w:szCs w:val="22"/>
        </w:rPr>
      </w:pPr>
      <w:r>
        <w:rPr>
          <w:color w:val="000000"/>
          <w:sz w:val="22"/>
          <w:szCs w:val="22"/>
        </w:rPr>
        <w:t>Il Direttore dell’esecuzione del contratto verrà nominato con apposito atto deliberativo e comunicato alla Ditta aggiudicataria.</w:t>
      </w:r>
    </w:p>
    <w:p w:rsidR="00065EFA" w:rsidRDefault="00065EFA">
      <w:pPr>
        <w:widowControl w:val="0"/>
        <w:pBdr>
          <w:top w:val="nil"/>
          <w:left w:val="nil"/>
          <w:bottom w:val="nil"/>
          <w:right w:val="nil"/>
          <w:between w:val="nil"/>
        </w:pBdr>
        <w:rPr>
          <w:color w:val="000000"/>
          <w:sz w:val="22"/>
          <w:szCs w:val="22"/>
        </w:rPr>
      </w:pPr>
    </w:p>
    <w:p w:rsidR="00065EFA" w:rsidRDefault="00A73CA4">
      <w:pPr>
        <w:widowControl w:val="0"/>
        <w:pBdr>
          <w:top w:val="nil"/>
          <w:left w:val="nil"/>
          <w:bottom w:val="nil"/>
          <w:right w:val="nil"/>
          <w:between w:val="nil"/>
        </w:pBdr>
        <w:tabs>
          <w:tab w:val="center" w:pos="5670"/>
        </w:tabs>
        <w:rPr>
          <w:color w:val="000000"/>
          <w:sz w:val="22"/>
          <w:szCs w:val="22"/>
        </w:rPr>
      </w:pPr>
      <w:bookmarkStart w:id="18" w:name="_heading=h.pn1vo5loindc" w:colFirst="0" w:colLast="0"/>
      <w:bookmarkEnd w:id="18"/>
      <w:r>
        <w:rPr>
          <w:color w:val="000000"/>
          <w:sz w:val="22"/>
          <w:szCs w:val="22"/>
        </w:rPr>
        <w:tab/>
        <w:t>Il Direttore dell’UOC Provveditorato</w:t>
      </w:r>
    </w:p>
    <w:p w:rsidR="00065EFA" w:rsidRDefault="00A73CA4">
      <w:pPr>
        <w:widowControl w:val="0"/>
        <w:pBdr>
          <w:top w:val="nil"/>
          <w:left w:val="nil"/>
          <w:bottom w:val="nil"/>
          <w:right w:val="nil"/>
          <w:between w:val="nil"/>
        </w:pBdr>
        <w:tabs>
          <w:tab w:val="center" w:pos="5670"/>
        </w:tabs>
        <w:rPr>
          <w:color w:val="000000"/>
          <w:sz w:val="22"/>
          <w:szCs w:val="22"/>
        </w:rPr>
      </w:pPr>
      <w:r>
        <w:rPr>
          <w:color w:val="000000"/>
          <w:sz w:val="22"/>
          <w:szCs w:val="22"/>
        </w:rPr>
        <w:tab/>
        <w:t xml:space="preserve"> Economato e gestione della logistica</w:t>
      </w:r>
    </w:p>
    <w:p w:rsidR="00065EFA" w:rsidRDefault="00A73CA4">
      <w:pPr>
        <w:widowControl w:val="0"/>
        <w:pBdr>
          <w:top w:val="nil"/>
          <w:left w:val="nil"/>
          <w:bottom w:val="nil"/>
          <w:right w:val="nil"/>
          <w:between w:val="nil"/>
        </w:pBdr>
        <w:tabs>
          <w:tab w:val="center" w:pos="5670"/>
        </w:tabs>
        <w:rPr>
          <w:color w:val="000000"/>
          <w:sz w:val="22"/>
          <w:szCs w:val="22"/>
        </w:rPr>
      </w:pPr>
      <w:r>
        <w:rPr>
          <w:color w:val="000000"/>
          <w:sz w:val="22"/>
          <w:szCs w:val="22"/>
        </w:rPr>
        <w:tab/>
        <w:t xml:space="preserve">Dott. Sandro </w:t>
      </w:r>
      <w:proofErr w:type="spellStart"/>
      <w:r>
        <w:rPr>
          <w:color w:val="000000"/>
          <w:sz w:val="22"/>
          <w:szCs w:val="22"/>
        </w:rPr>
        <w:t>Possamai</w:t>
      </w:r>
      <w:proofErr w:type="spellEnd"/>
    </w:p>
    <w:p w:rsidR="00065EFA" w:rsidRDefault="00065EFA">
      <w:pPr>
        <w:widowControl w:val="0"/>
        <w:pBdr>
          <w:top w:val="nil"/>
          <w:left w:val="nil"/>
          <w:bottom w:val="nil"/>
          <w:right w:val="nil"/>
          <w:between w:val="nil"/>
        </w:pBdr>
        <w:tabs>
          <w:tab w:val="center" w:pos="5670"/>
        </w:tabs>
        <w:rPr>
          <w:color w:val="000000"/>
          <w:sz w:val="22"/>
          <w:szCs w:val="22"/>
        </w:rPr>
      </w:pPr>
    </w:p>
    <w:p w:rsidR="00065EFA" w:rsidRDefault="00A73CA4">
      <w:pPr>
        <w:widowControl w:val="0"/>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i/>
          <w:iCs/>
          <w:color w:val="000000"/>
          <w:sz w:val="22"/>
          <w:szCs w:val="22"/>
        </w:rPr>
        <w:t>Allegato 1 - Modello offerta</w:t>
      </w:r>
      <w:r>
        <w:rPr>
          <w:rFonts w:ascii="Calibri" w:eastAsia="Calibri" w:hAnsi="Calibri" w:cs="Calibri"/>
          <w:b/>
          <w:bCs/>
          <w:i/>
          <w:iCs/>
          <w:color w:val="000000"/>
          <w:sz w:val="24"/>
          <w:szCs w:val="24"/>
        </w:rPr>
        <w:t xml:space="preserve"> </w:t>
      </w:r>
      <w:r>
        <w:rPr>
          <w:rFonts w:ascii="Calibri" w:eastAsia="Calibri" w:hAnsi="Calibri" w:cs="Calibri"/>
          <w:b/>
          <w:bCs/>
          <w:i/>
          <w:iCs/>
          <w:color w:val="000000"/>
          <w:sz w:val="22"/>
          <w:szCs w:val="22"/>
        </w:rPr>
        <w:t>economica senza prezzi</w:t>
      </w:r>
    </w:p>
    <w:p w:rsidR="00065EFA" w:rsidRDefault="00A73CA4">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i/>
          <w:iCs/>
          <w:color w:val="000000"/>
          <w:sz w:val="22"/>
          <w:szCs w:val="22"/>
        </w:rPr>
        <w:t>Allegato 2 - Modello offerta economica</w:t>
      </w:r>
    </w:p>
    <w:p w:rsidR="00065EFA" w:rsidRDefault="00A73CA4">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i/>
          <w:iCs/>
          <w:color w:val="000000"/>
          <w:sz w:val="22"/>
          <w:szCs w:val="22"/>
        </w:rPr>
        <w:t>Allegato 3 – tabella richiesta dati UDI</w:t>
      </w:r>
    </w:p>
    <w:p w:rsidR="00065EFA" w:rsidRDefault="00A73CA4">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i/>
          <w:iCs/>
          <w:color w:val="000000"/>
          <w:sz w:val="22"/>
          <w:szCs w:val="22"/>
        </w:rPr>
        <w:t xml:space="preserve">Allegato 4 – DGUE </w:t>
      </w:r>
      <w:proofErr w:type="spellStart"/>
      <w:r>
        <w:rPr>
          <w:rFonts w:ascii="Calibri" w:eastAsia="Calibri" w:hAnsi="Calibri" w:cs="Calibri"/>
          <w:b/>
          <w:bCs/>
          <w:i/>
          <w:iCs/>
          <w:color w:val="000000"/>
          <w:sz w:val="22"/>
          <w:szCs w:val="22"/>
        </w:rPr>
        <w:t>request</w:t>
      </w:r>
      <w:proofErr w:type="spellEnd"/>
      <w:r>
        <w:rPr>
          <w:rFonts w:ascii="Calibri" w:eastAsia="Calibri" w:hAnsi="Calibri" w:cs="Calibri"/>
          <w:b/>
          <w:bCs/>
          <w:i/>
          <w:iCs/>
          <w:color w:val="000000"/>
          <w:sz w:val="22"/>
          <w:szCs w:val="22"/>
        </w:rPr>
        <w:t>, sia in .pdf che in .xml</w:t>
      </w:r>
    </w:p>
    <w:p w:rsidR="00065EFA" w:rsidRDefault="00A73CA4">
      <w:pPr>
        <w:pBdr>
          <w:top w:val="nil"/>
          <w:left w:val="nil"/>
          <w:bottom w:val="nil"/>
          <w:right w:val="nil"/>
          <w:between w:val="nil"/>
        </w:pBdr>
        <w:rPr>
          <w:rFonts w:ascii="Calibri" w:eastAsia="Calibri" w:hAnsi="Calibri" w:cs="Calibri"/>
          <w:color w:val="000000"/>
          <w:sz w:val="22"/>
          <w:szCs w:val="22"/>
        </w:rPr>
      </w:pPr>
      <w:r>
        <w:rPr>
          <w:rFonts w:ascii="Calibri" w:eastAsia="Calibri" w:hAnsi="Calibri" w:cs="Calibri"/>
          <w:b/>
          <w:bCs/>
          <w:i/>
          <w:iCs/>
          <w:color w:val="000000"/>
          <w:sz w:val="22"/>
          <w:szCs w:val="22"/>
        </w:rPr>
        <w:t>Allegato 5 – D.U.V.R.I.</w:t>
      </w:r>
    </w:p>
    <w:sectPr w:rsidR="00065EFA">
      <w:footerReference w:type="default" r:id="rId10"/>
      <w:headerReference w:type="first" r:id="rId11"/>
      <w:footerReference w:type="first" r:id="rId12"/>
      <w:pgSz w:w="11906" w:h="16838"/>
      <w:pgMar w:top="2126" w:right="1134" w:bottom="1134" w:left="1134" w:header="357" w:footer="53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2CEA" w:rsidRDefault="00DD2CEA">
      <w:r>
        <w:separator/>
      </w:r>
    </w:p>
  </w:endnote>
  <w:endnote w:type="continuationSeparator" w:id="0">
    <w:p w:rsidR="00DD2CEA" w:rsidRDefault="00DD2C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embedRegular r:id="rId1" w:fontKey="{DD359F6C-6E4A-4B0A-9F8A-F70B015B38F3}"/>
    <w:embedBold r:id="rId2" w:fontKey="{012367D8-ABE9-4A4E-897E-C2C354A4F508}"/>
    <w:embedBoldItalic r:id="rId3" w:fontKey="{630AF7F9-44A3-4C00-A972-54A8AA8C2A27}"/>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4" w:fontKey="{F54409F9-1210-4A46-A665-319E01305D6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embedRegular r:id="rId5" w:fontKey="{EF8AB3FD-4693-4548-B9B3-ECE083E3FA90}"/>
    <w:embedBold r:id="rId6" w:fontKey="{7290F1EA-B67D-48F3-B831-141C808AA514}"/>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7" w:fontKey="{A973C3FD-9E34-4D9C-9309-B32DB37EE249}"/>
  </w:font>
  <w:font w:name="Times">
    <w:panose1 w:val="02020603050405020304"/>
    <w:charset w:val="00"/>
    <w:family w:val="roman"/>
    <w:pitch w:val="variable"/>
    <w:sig w:usb0="E0002EFF" w:usb1="C000785B" w:usb2="00000009" w:usb3="00000000" w:csb0="000001FF" w:csb1="00000000"/>
    <w:embedRegular r:id="rId8" w:fontKey="{EF9D1F2C-2FBF-4CB8-9A2B-685C4A22A279}"/>
    <w:embedBold r:id="rId9" w:fontKey="{774968C1-1CC2-4683-B1E5-E0D778F29EAB}"/>
  </w:font>
  <w:font w:name="Georgia">
    <w:panose1 w:val="02040502050405020303"/>
    <w:charset w:val="00"/>
    <w:family w:val="roman"/>
    <w:pitch w:val="variable"/>
    <w:sig w:usb0="00000287" w:usb1="00000000" w:usb2="00000000" w:usb3="00000000" w:csb0="0000009F" w:csb1="00000000"/>
    <w:embedItalic r:id="rId10" w:fontKey="{BE745140-2BA5-42B5-BF9A-8380B1F29A08}"/>
  </w:font>
  <w:font w:name="Tahoma">
    <w:panose1 w:val="020B0604030504040204"/>
    <w:charset w:val="00"/>
    <w:family w:val="swiss"/>
    <w:pitch w:val="variable"/>
    <w:sig w:usb0="E1002EFF" w:usb1="C000605B" w:usb2="00000029" w:usb3="00000000" w:csb0="000101FF" w:csb1="00000000"/>
    <w:embedRegular r:id="rId11" w:fontKey="{3B7686C5-42A1-4E6B-9EF4-DC1669DA14A8}"/>
  </w:font>
  <w:font w:name="Cambria">
    <w:panose1 w:val="02040503050406030204"/>
    <w:charset w:val="00"/>
    <w:family w:val="roman"/>
    <w:pitch w:val="variable"/>
    <w:sig w:usb0="E00006FF" w:usb1="420024FF" w:usb2="02000000" w:usb3="00000000" w:csb0="0000019F" w:csb1="00000000"/>
    <w:embedRegular r:id="rId12" w:fontKey="{03A1DDC8-E7DD-42FD-AA13-9E78B5F42DB2}"/>
    <w:embedItalic r:id="rId13" w:fontKey="{A6EE4CF6-CB00-4D6A-B1FA-7D792B437E5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2CEA" w:rsidRDefault="00DD2CEA">
    <w:pPr>
      <w:pBdr>
        <w:top w:val="nil"/>
        <w:left w:val="nil"/>
        <w:bottom w:val="nil"/>
        <w:right w:val="nil"/>
        <w:between w:val="nil"/>
      </w:pBdr>
      <w:tabs>
        <w:tab w:val="center" w:pos="4819"/>
        <w:tab w:val="right" w:pos="9638"/>
      </w:tabs>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Pr>
        <w:noProof/>
        <w:color w:val="000000"/>
        <w:sz w:val="18"/>
        <w:szCs w:val="18"/>
      </w:rPr>
      <w:t>2</w:t>
    </w:r>
    <w:r>
      <w:rPr>
        <w:color w:val="000000"/>
        <w:sz w:val="18"/>
        <w:szCs w:val="18"/>
      </w:rPr>
      <w:fldChar w:fldCharType="end"/>
    </w:r>
  </w:p>
  <w:p w:rsidR="00DD2CEA" w:rsidRDefault="00DD2CEA">
    <w:pPr>
      <w:pBdr>
        <w:top w:val="nil"/>
        <w:left w:val="nil"/>
        <w:bottom w:val="nil"/>
        <w:right w:val="nil"/>
        <w:between w:val="nil"/>
      </w:pBdr>
      <w:tabs>
        <w:tab w:val="center" w:pos="4819"/>
        <w:tab w:val="right" w:pos="9638"/>
      </w:tabs>
      <w:rPr>
        <w:rFonts w:ascii="Arial" w:eastAsia="Arial" w:hAnsi="Arial" w:cs="Arial"/>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2CEA" w:rsidRDefault="00DD2CEA">
    <w:pPr>
      <w:widowControl w:val="0"/>
      <w:pBdr>
        <w:top w:val="single" w:sz="4" w:space="5" w:color="000000"/>
        <w:left w:val="nil"/>
        <w:bottom w:val="nil"/>
        <w:right w:val="nil"/>
        <w:between w:val="nil"/>
      </w:pBdr>
      <w:rPr>
        <w:color w:val="000000"/>
      </w:rPr>
    </w:pPr>
    <w:r>
      <w:rPr>
        <w:rFonts w:ascii="Arial" w:eastAsia="Arial" w:hAnsi="Arial" w:cs="Arial"/>
        <w:color w:val="000000"/>
        <w:sz w:val="22"/>
        <w:szCs w:val="22"/>
      </w:rPr>
      <w:t xml:space="preserve"> </w:t>
    </w:r>
    <w:r>
      <w:rPr>
        <w:b/>
        <w:bCs/>
        <w:i/>
        <w:iCs/>
        <w:color w:val="000000"/>
      </w:rPr>
      <w:t xml:space="preserve">Responsabile del Procedimento: dott. Sandro </w:t>
    </w:r>
    <w:proofErr w:type="spellStart"/>
    <w:r>
      <w:rPr>
        <w:b/>
        <w:bCs/>
        <w:i/>
        <w:iCs/>
        <w:color w:val="000000"/>
      </w:rPr>
      <w:t>Possamai</w:t>
    </w:r>
    <w:proofErr w:type="spellEnd"/>
  </w:p>
  <w:p w:rsidR="00DD2CEA" w:rsidRDefault="00DD2CEA">
    <w:pPr>
      <w:widowControl w:val="0"/>
      <w:pBdr>
        <w:top w:val="single" w:sz="4" w:space="5" w:color="000000"/>
        <w:left w:val="nil"/>
        <w:bottom w:val="nil"/>
        <w:right w:val="nil"/>
        <w:between w:val="nil"/>
      </w:pBdr>
      <w:rPr>
        <w:color w:val="000000"/>
      </w:rPr>
    </w:pPr>
    <w:r>
      <w:rPr>
        <w:i/>
        <w:iCs/>
        <w:color w:val="000000"/>
      </w:rPr>
      <w:t>Referente procedura: dott.ssa Marina Favara</w:t>
    </w:r>
  </w:p>
  <w:p w:rsidR="00DD2CEA" w:rsidRDefault="00DD2CEA">
    <w:pPr>
      <w:widowControl w:val="0"/>
      <w:pBdr>
        <w:top w:val="single" w:sz="4" w:space="5" w:color="000000"/>
        <w:left w:val="nil"/>
        <w:bottom w:val="nil"/>
        <w:right w:val="nil"/>
        <w:between w:val="nil"/>
      </w:pBdr>
      <w:rPr>
        <w:color w:val="000000"/>
      </w:rPr>
    </w:pPr>
    <w:r>
      <w:rPr>
        <w:i/>
        <w:iCs/>
        <w:color w:val="000000"/>
      </w:rPr>
      <w:t xml:space="preserve">Tel. 0444/753121 </w:t>
    </w:r>
    <w:proofErr w:type="spellStart"/>
    <w:r>
      <w:rPr>
        <w:i/>
        <w:iCs/>
        <w:color w:val="000000"/>
      </w:rPr>
      <w:t>e mail</w:t>
    </w:r>
    <w:proofErr w:type="spellEnd"/>
    <w:r>
      <w:rPr>
        <w:i/>
        <w:iCs/>
        <w:color w:val="000000"/>
      </w:rPr>
      <w:t>: marina.favara@aulss8.veneto.it</w:t>
    </w:r>
  </w:p>
  <w:p w:rsidR="00DD2CEA" w:rsidRDefault="00DD2CEA">
    <w:pPr>
      <w:pBdr>
        <w:top w:val="nil"/>
        <w:left w:val="nil"/>
        <w:bottom w:val="nil"/>
        <w:right w:val="nil"/>
        <w:between w:val="nil"/>
      </w:pBdr>
      <w:tabs>
        <w:tab w:val="center" w:pos="4819"/>
        <w:tab w:val="right" w:pos="9638"/>
      </w:tabs>
      <w:rPr>
        <w:rFonts w:ascii="Arial" w:eastAsia="Arial" w:hAnsi="Arial" w:cs="Aria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2CEA" w:rsidRDefault="00DD2CEA">
      <w:r>
        <w:separator/>
      </w:r>
    </w:p>
  </w:footnote>
  <w:footnote w:type="continuationSeparator" w:id="0">
    <w:p w:rsidR="00DD2CEA" w:rsidRDefault="00DD2C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2CEA" w:rsidRDefault="00DD2CEA">
    <w:pPr>
      <w:pBdr>
        <w:top w:val="nil"/>
        <w:left w:val="nil"/>
        <w:bottom w:val="nil"/>
        <w:right w:val="nil"/>
        <w:between w:val="nil"/>
      </w:pBdr>
      <w:rPr>
        <w:rFonts w:ascii="Arial" w:eastAsia="Arial" w:hAnsi="Arial" w:cs="Arial"/>
        <w:color w:val="000000"/>
        <w:sz w:val="22"/>
        <w:szCs w:val="22"/>
      </w:rPr>
    </w:pPr>
    <w:r>
      <w:rPr>
        <w:noProof/>
      </w:rPr>
      <w:drawing>
        <wp:anchor distT="0" distB="0" distL="114300" distR="114300" simplePos="0" relativeHeight="251658240" behindDoc="0" locked="0" layoutInCell="1" hidden="0" allowOverlap="1">
          <wp:simplePos x="0" y="0"/>
          <wp:positionH relativeFrom="column">
            <wp:posOffset>-466723</wp:posOffset>
          </wp:positionH>
          <wp:positionV relativeFrom="paragraph">
            <wp:posOffset>133350</wp:posOffset>
          </wp:positionV>
          <wp:extent cx="1684972" cy="893035"/>
          <wp:effectExtent l="0" t="0" r="0" b="0"/>
          <wp:wrapNone/>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684972" cy="893035"/>
                  </a:xfrm>
                  <a:prstGeom prst="rect">
                    <a:avLst/>
                  </a:prstGeom>
                  <a:ln/>
                </pic:spPr>
              </pic:pic>
            </a:graphicData>
          </a:graphic>
        </wp:anchor>
      </w:drawing>
    </w:r>
  </w:p>
  <w:tbl>
    <w:tblPr>
      <w:tblStyle w:val="aa"/>
      <w:tblW w:w="9720" w:type="dxa"/>
      <w:tblInd w:w="0" w:type="dxa"/>
      <w:tblLayout w:type="fixed"/>
      <w:tblLook w:val="0000" w:firstRow="0" w:lastRow="0" w:firstColumn="0" w:lastColumn="0" w:noHBand="0" w:noVBand="0"/>
    </w:tblPr>
    <w:tblGrid>
      <w:gridCol w:w="9720"/>
    </w:tblGrid>
    <w:tr w:rsidR="00DD2CEA">
      <w:trPr>
        <w:trHeight w:val="1787"/>
      </w:trPr>
      <w:tc>
        <w:tcPr>
          <w:tcW w:w="9720" w:type="dxa"/>
        </w:tcPr>
        <w:p w:rsidR="00DD2CEA" w:rsidRDefault="00DD2CEA">
          <w:pPr>
            <w:pBdr>
              <w:top w:val="nil"/>
              <w:left w:val="nil"/>
              <w:bottom w:val="nil"/>
              <w:right w:val="nil"/>
              <w:between w:val="nil"/>
            </w:pBdr>
            <w:jc w:val="center"/>
            <w:rPr>
              <w:rFonts w:ascii="Arial" w:eastAsia="Arial" w:hAnsi="Arial" w:cs="Arial"/>
              <w:color w:val="000080"/>
              <w:sz w:val="22"/>
              <w:szCs w:val="22"/>
            </w:rPr>
          </w:pPr>
        </w:p>
        <w:p w:rsidR="00DD2CEA" w:rsidRDefault="00DD2CEA">
          <w:pPr>
            <w:pBdr>
              <w:top w:val="nil"/>
              <w:left w:val="nil"/>
              <w:bottom w:val="nil"/>
              <w:right w:val="nil"/>
              <w:between w:val="nil"/>
            </w:pBdr>
            <w:jc w:val="center"/>
            <w:rPr>
              <w:rFonts w:ascii="Arial" w:eastAsia="Arial" w:hAnsi="Arial" w:cs="Arial"/>
              <w:color w:val="0000FF"/>
              <w:sz w:val="22"/>
              <w:szCs w:val="22"/>
            </w:rPr>
          </w:pPr>
          <w:r>
            <w:rPr>
              <w:rFonts w:ascii="Arial" w:eastAsia="Arial" w:hAnsi="Arial" w:cs="Arial"/>
              <w:color w:val="0000FF"/>
              <w:sz w:val="22"/>
              <w:szCs w:val="22"/>
            </w:rPr>
            <w:t>Servizio Sanitario Nazionale - Regione Veneto</w:t>
          </w:r>
        </w:p>
        <w:p w:rsidR="00DD2CEA" w:rsidRDefault="00DD2CEA">
          <w:pPr>
            <w:keepNext/>
            <w:widowControl w:val="0"/>
            <w:pBdr>
              <w:top w:val="nil"/>
              <w:left w:val="nil"/>
              <w:bottom w:val="nil"/>
              <w:right w:val="nil"/>
              <w:between w:val="nil"/>
            </w:pBdr>
            <w:jc w:val="center"/>
            <w:rPr>
              <w:rFonts w:ascii="Arial" w:eastAsia="Arial" w:hAnsi="Arial" w:cs="Arial"/>
              <w:color w:val="0000FF"/>
              <w:sz w:val="26"/>
              <w:szCs w:val="26"/>
            </w:rPr>
          </w:pPr>
          <w:r>
            <w:rPr>
              <w:rFonts w:ascii="Arial" w:eastAsia="Arial" w:hAnsi="Arial" w:cs="Arial"/>
              <w:b/>
              <w:bCs/>
              <w:color w:val="0000FF"/>
              <w:sz w:val="26"/>
              <w:szCs w:val="26"/>
            </w:rPr>
            <w:t>AZIENDA ULSS N. 8 BERICA</w:t>
          </w:r>
        </w:p>
        <w:p w:rsidR="00DD2CEA" w:rsidRDefault="00DD2CEA">
          <w:pPr>
            <w:pBdr>
              <w:top w:val="nil"/>
              <w:left w:val="nil"/>
              <w:bottom w:val="nil"/>
              <w:right w:val="nil"/>
              <w:between w:val="nil"/>
            </w:pBdr>
            <w:jc w:val="center"/>
            <w:rPr>
              <w:rFonts w:ascii="Arial" w:eastAsia="Arial" w:hAnsi="Arial" w:cs="Arial"/>
              <w:color w:val="0000FF"/>
              <w:sz w:val="18"/>
              <w:szCs w:val="18"/>
            </w:rPr>
          </w:pPr>
          <w:r>
            <w:rPr>
              <w:rFonts w:ascii="Arial" w:eastAsia="Arial" w:hAnsi="Arial" w:cs="Arial"/>
              <w:color w:val="0000FF"/>
              <w:sz w:val="18"/>
              <w:szCs w:val="18"/>
            </w:rPr>
            <w:t xml:space="preserve">Viale F. </w:t>
          </w:r>
          <w:proofErr w:type="spellStart"/>
          <w:r>
            <w:rPr>
              <w:rFonts w:ascii="Arial" w:eastAsia="Arial" w:hAnsi="Arial" w:cs="Arial"/>
              <w:color w:val="0000FF"/>
              <w:sz w:val="18"/>
              <w:szCs w:val="18"/>
            </w:rPr>
            <w:t>Rodolfi</w:t>
          </w:r>
          <w:proofErr w:type="spellEnd"/>
          <w:r>
            <w:rPr>
              <w:rFonts w:ascii="Arial" w:eastAsia="Arial" w:hAnsi="Arial" w:cs="Arial"/>
              <w:color w:val="0000FF"/>
              <w:sz w:val="18"/>
              <w:szCs w:val="18"/>
            </w:rPr>
            <w:t xml:space="preserve"> n. 37 – 36100 VICENZA</w:t>
          </w:r>
        </w:p>
        <w:p w:rsidR="00DD2CEA" w:rsidRDefault="00DD2CEA">
          <w:pPr>
            <w:pBdr>
              <w:top w:val="nil"/>
              <w:left w:val="nil"/>
              <w:bottom w:val="nil"/>
              <w:right w:val="nil"/>
              <w:between w:val="nil"/>
            </w:pBdr>
            <w:jc w:val="center"/>
            <w:rPr>
              <w:rFonts w:ascii="Arial" w:eastAsia="Arial" w:hAnsi="Arial" w:cs="Arial"/>
              <w:color w:val="0000FF"/>
              <w:sz w:val="16"/>
              <w:szCs w:val="16"/>
            </w:rPr>
          </w:pPr>
          <w:r>
            <w:rPr>
              <w:rFonts w:ascii="Arial" w:eastAsia="Arial" w:hAnsi="Arial" w:cs="Arial"/>
              <w:color w:val="0000FF"/>
              <w:sz w:val="16"/>
              <w:szCs w:val="16"/>
            </w:rPr>
            <w:t xml:space="preserve">                      COD. REGIONE 050–COD. U.L.SS.</w:t>
          </w:r>
          <w:proofErr w:type="gramStart"/>
          <w:r>
            <w:rPr>
              <w:rFonts w:ascii="Arial" w:eastAsia="Arial" w:hAnsi="Arial" w:cs="Arial"/>
              <w:color w:val="0000FF"/>
              <w:sz w:val="16"/>
              <w:szCs w:val="16"/>
            </w:rPr>
            <w:t>508  COD.FISC</w:t>
          </w:r>
          <w:proofErr w:type="gramEnd"/>
          <w:r>
            <w:rPr>
              <w:rFonts w:ascii="Arial" w:eastAsia="Arial" w:hAnsi="Arial" w:cs="Arial"/>
              <w:color w:val="0000FF"/>
              <w:sz w:val="16"/>
              <w:szCs w:val="16"/>
            </w:rPr>
            <w:t xml:space="preserve">. E P.IVA 02441500242–Cod. </w:t>
          </w:r>
          <w:proofErr w:type="spellStart"/>
          <w:r>
            <w:rPr>
              <w:rFonts w:ascii="Arial" w:eastAsia="Arial" w:hAnsi="Arial" w:cs="Arial"/>
              <w:color w:val="0000FF"/>
              <w:sz w:val="16"/>
              <w:szCs w:val="16"/>
            </w:rPr>
            <w:t>iPA</w:t>
          </w:r>
          <w:proofErr w:type="spellEnd"/>
          <w:r>
            <w:rPr>
              <w:rFonts w:ascii="Arial" w:eastAsia="Arial" w:hAnsi="Arial" w:cs="Arial"/>
              <w:color w:val="0000FF"/>
              <w:sz w:val="16"/>
              <w:szCs w:val="16"/>
            </w:rPr>
            <w:t xml:space="preserve"> AUV</w:t>
          </w:r>
        </w:p>
        <w:p w:rsidR="00DD2CEA" w:rsidRDefault="00DD2CEA">
          <w:pPr>
            <w:pBdr>
              <w:top w:val="nil"/>
              <w:left w:val="nil"/>
              <w:bottom w:val="nil"/>
              <w:right w:val="nil"/>
              <w:between w:val="nil"/>
            </w:pBdr>
            <w:tabs>
              <w:tab w:val="left" w:pos="567"/>
            </w:tabs>
            <w:jc w:val="center"/>
            <w:rPr>
              <w:rFonts w:ascii="Arial" w:eastAsia="Arial" w:hAnsi="Arial" w:cs="Arial"/>
              <w:color w:val="0000FF"/>
              <w:sz w:val="16"/>
              <w:szCs w:val="16"/>
            </w:rPr>
          </w:pPr>
          <w:r>
            <w:rPr>
              <w:rFonts w:ascii="Arial" w:eastAsia="Arial" w:hAnsi="Arial" w:cs="Arial"/>
              <w:color w:val="0000FF"/>
              <w:sz w:val="16"/>
              <w:szCs w:val="16"/>
            </w:rPr>
            <w:t xml:space="preserve">Tel.  0444 753111 - </w:t>
          </w:r>
          <w:proofErr w:type="gramStart"/>
          <w:r>
            <w:rPr>
              <w:rFonts w:ascii="Arial" w:eastAsia="Arial" w:hAnsi="Arial" w:cs="Arial"/>
              <w:color w:val="0000FF"/>
              <w:sz w:val="16"/>
              <w:szCs w:val="16"/>
            </w:rPr>
            <w:t>Mail  protocollo@aulss8.veneto.it</w:t>
          </w:r>
          <w:proofErr w:type="gramEnd"/>
          <w:r>
            <w:rPr>
              <w:rFonts w:ascii="Arial" w:eastAsia="Arial" w:hAnsi="Arial" w:cs="Arial"/>
              <w:color w:val="0000FF"/>
              <w:sz w:val="16"/>
              <w:szCs w:val="16"/>
            </w:rPr>
            <w:t xml:space="preserve"> </w:t>
          </w:r>
        </w:p>
        <w:p w:rsidR="00DD2CEA" w:rsidRDefault="00DD2CEA">
          <w:pPr>
            <w:pBdr>
              <w:top w:val="nil"/>
              <w:left w:val="nil"/>
              <w:bottom w:val="nil"/>
              <w:right w:val="nil"/>
              <w:between w:val="nil"/>
            </w:pBdr>
            <w:tabs>
              <w:tab w:val="left" w:pos="567"/>
            </w:tabs>
            <w:jc w:val="center"/>
            <w:rPr>
              <w:rFonts w:ascii="Arial" w:eastAsia="Arial" w:hAnsi="Arial" w:cs="Arial"/>
              <w:color w:val="0000FF"/>
              <w:sz w:val="16"/>
              <w:szCs w:val="16"/>
            </w:rPr>
          </w:pPr>
          <w:r>
            <w:rPr>
              <w:rFonts w:ascii="Arial" w:eastAsia="Arial" w:hAnsi="Arial" w:cs="Arial"/>
              <w:color w:val="0000FF"/>
              <w:sz w:val="16"/>
              <w:szCs w:val="16"/>
            </w:rPr>
            <w:t>PEC protocollo.aulss8@pecveneto.it</w:t>
          </w:r>
        </w:p>
        <w:p w:rsidR="00DD2CEA" w:rsidRDefault="00DD2CEA">
          <w:pPr>
            <w:pBdr>
              <w:top w:val="nil"/>
              <w:left w:val="nil"/>
              <w:bottom w:val="nil"/>
              <w:right w:val="nil"/>
              <w:between w:val="nil"/>
            </w:pBdr>
            <w:tabs>
              <w:tab w:val="left" w:pos="567"/>
            </w:tabs>
            <w:jc w:val="center"/>
            <w:rPr>
              <w:rFonts w:ascii="Arial" w:eastAsia="Arial" w:hAnsi="Arial" w:cs="Arial"/>
              <w:color w:val="000000"/>
              <w:sz w:val="22"/>
              <w:szCs w:val="22"/>
            </w:rPr>
          </w:pPr>
          <w:r>
            <w:rPr>
              <w:rFonts w:ascii="Arial" w:eastAsia="Arial" w:hAnsi="Arial" w:cs="Arial"/>
              <w:b/>
              <w:bCs/>
              <w:color w:val="0000FF"/>
              <w:sz w:val="16"/>
              <w:szCs w:val="16"/>
            </w:rPr>
            <w:t>www.aulss8.veneto.it</w:t>
          </w:r>
        </w:p>
      </w:tc>
    </w:tr>
  </w:tbl>
  <w:p w:rsidR="00DD2CEA" w:rsidRDefault="00DD2CEA">
    <w:pPr>
      <w:pBdr>
        <w:top w:val="nil"/>
        <w:left w:val="nil"/>
        <w:bottom w:val="nil"/>
        <w:right w:val="nil"/>
        <w:between w:val="nil"/>
      </w:pBdr>
      <w:tabs>
        <w:tab w:val="center" w:pos="4819"/>
        <w:tab w:val="right" w:pos="9638"/>
      </w:tabs>
      <w:rPr>
        <w:rFonts w:ascii="Arial" w:eastAsia="Arial" w:hAnsi="Arial" w:cs="Arial"/>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BE08AE"/>
    <w:multiLevelType w:val="multilevel"/>
    <w:tmpl w:val="3EA216C2"/>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7A43F39"/>
    <w:multiLevelType w:val="multilevel"/>
    <w:tmpl w:val="722A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CF37811"/>
    <w:multiLevelType w:val="multilevel"/>
    <w:tmpl w:val="F62A2E14"/>
    <w:lvl w:ilvl="0">
      <w:start w:val="1"/>
      <w:numFmt w:val="lowerLetter"/>
      <w:lvlText w:val=""/>
      <w:lvlJc w:val="left"/>
      <w:pPr>
        <w:ind w:left="0" w:firstLine="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3" w15:restartNumberingAfterBreak="0">
    <w:nsid w:val="0F3B0F19"/>
    <w:multiLevelType w:val="multilevel"/>
    <w:tmpl w:val="E5885008"/>
    <w:lvl w:ilvl="0">
      <w:start w:val="1"/>
      <w:numFmt w:val="decimal"/>
      <w:lvlText w:val="%1."/>
      <w:lvlJc w:val="left"/>
      <w:pPr>
        <w:ind w:left="720" w:hanging="360"/>
      </w:pPr>
      <w:rPr>
        <w:rFonts w:ascii="Times New Roman" w:eastAsia="Times New Roman" w:hAnsi="Times New Roman" w:cs="Times New Roman"/>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146E63F6"/>
    <w:multiLevelType w:val="multilevel"/>
    <w:tmpl w:val="5F3E578C"/>
    <w:lvl w:ilvl="0">
      <w:start w:val="1"/>
      <w:numFmt w:val="lowerLetter"/>
      <w:lvlText w:val="%1)"/>
      <w:lvlJc w:val="left"/>
      <w:pPr>
        <w:ind w:left="0" w:firstLine="0"/>
      </w:pPr>
      <w:rPr>
        <w:vertAlign w:val="baseline"/>
      </w:rPr>
    </w:lvl>
    <w:lvl w:ilvl="1">
      <w:numFmt w:val="decimal"/>
      <w:lvlText w:val=""/>
      <w:lvlJc w:val="left"/>
      <w:pPr>
        <w:ind w:left="0" w:firstLine="0"/>
      </w:pPr>
      <w:rPr>
        <w:vertAlign w:val="baseline"/>
      </w:rPr>
    </w:lvl>
    <w:lvl w:ilvl="2">
      <w:numFmt w:val="decimal"/>
      <w:lvlText w:val=""/>
      <w:lvlJc w:val="left"/>
      <w:pPr>
        <w:ind w:left="0" w:firstLine="0"/>
      </w:pPr>
      <w:rPr>
        <w:vertAlign w:val="baseline"/>
      </w:rPr>
    </w:lvl>
    <w:lvl w:ilvl="3">
      <w:numFmt w:val="decimal"/>
      <w:lvlText w:val=""/>
      <w:lvlJc w:val="left"/>
      <w:pPr>
        <w:ind w:left="0" w:firstLine="0"/>
      </w:pPr>
      <w:rPr>
        <w:vertAlign w:val="baseline"/>
      </w:rPr>
    </w:lvl>
    <w:lvl w:ilvl="4">
      <w:numFmt w:val="decimal"/>
      <w:lvlText w:val=""/>
      <w:lvlJc w:val="left"/>
      <w:pPr>
        <w:ind w:left="0" w:firstLine="0"/>
      </w:pPr>
      <w:rPr>
        <w:vertAlign w:val="baseline"/>
      </w:rPr>
    </w:lvl>
    <w:lvl w:ilvl="5">
      <w:numFmt w:val="decimal"/>
      <w:lvlText w:val=""/>
      <w:lvlJc w:val="left"/>
      <w:pPr>
        <w:ind w:left="0" w:firstLine="0"/>
      </w:pPr>
      <w:rPr>
        <w:vertAlign w:val="baseline"/>
      </w:rPr>
    </w:lvl>
    <w:lvl w:ilvl="6">
      <w:numFmt w:val="decimal"/>
      <w:lvlText w:val=""/>
      <w:lvlJc w:val="left"/>
      <w:pPr>
        <w:ind w:left="0" w:firstLine="0"/>
      </w:pPr>
      <w:rPr>
        <w:vertAlign w:val="baseline"/>
      </w:rPr>
    </w:lvl>
    <w:lvl w:ilvl="7">
      <w:numFmt w:val="decimal"/>
      <w:lvlText w:val=""/>
      <w:lvlJc w:val="left"/>
      <w:pPr>
        <w:ind w:left="0" w:firstLine="0"/>
      </w:pPr>
      <w:rPr>
        <w:vertAlign w:val="baseline"/>
      </w:rPr>
    </w:lvl>
    <w:lvl w:ilvl="8">
      <w:numFmt w:val="decimal"/>
      <w:lvlText w:val=""/>
      <w:lvlJc w:val="left"/>
      <w:pPr>
        <w:ind w:left="0" w:firstLine="0"/>
      </w:pPr>
      <w:rPr>
        <w:vertAlign w:val="baseline"/>
      </w:rPr>
    </w:lvl>
  </w:abstractNum>
  <w:abstractNum w:abstractNumId="5" w15:restartNumberingAfterBreak="0">
    <w:nsid w:val="20ED6D21"/>
    <w:multiLevelType w:val="multilevel"/>
    <w:tmpl w:val="D1427E10"/>
    <w:lvl w:ilvl="0">
      <w:start w:val="1"/>
      <w:numFmt w:val="lowerRoman"/>
      <w:lvlText w:val="%1)"/>
      <w:lvlJc w:val="left"/>
      <w:pPr>
        <w:ind w:left="1080" w:hanging="72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B150236"/>
    <w:multiLevelType w:val="multilevel"/>
    <w:tmpl w:val="F5E26F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33FB5A9C"/>
    <w:multiLevelType w:val="multilevel"/>
    <w:tmpl w:val="AE28B5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47529ED"/>
    <w:multiLevelType w:val="multilevel"/>
    <w:tmpl w:val="3E325676"/>
    <w:lvl w:ilvl="0">
      <w:start w:val="1"/>
      <w:numFmt w:val="decimal"/>
      <w:lvlText w:val="%1)"/>
      <w:lvlJc w:val="left"/>
      <w:pPr>
        <w:ind w:left="720" w:hanging="360"/>
      </w:pPr>
      <w:rPr>
        <w:u w:val="none"/>
        <w:vertAlign w:val="baseline"/>
      </w:rPr>
    </w:lvl>
    <w:lvl w:ilvl="1">
      <w:start w:val="1"/>
      <w:numFmt w:val="lowerLetter"/>
      <w:lvlText w:val="%2)"/>
      <w:lvlJc w:val="left"/>
      <w:pPr>
        <w:ind w:left="1440" w:hanging="360"/>
      </w:pPr>
      <w:rPr>
        <w:u w:val="none"/>
        <w:vertAlign w:val="baseline"/>
      </w:rPr>
    </w:lvl>
    <w:lvl w:ilvl="2">
      <w:start w:val="1"/>
      <w:numFmt w:val="lowerRoman"/>
      <w:lvlText w:val="%3)"/>
      <w:lvlJc w:val="right"/>
      <w:pPr>
        <w:ind w:left="2160" w:hanging="360"/>
      </w:pPr>
      <w:rPr>
        <w:u w:val="none"/>
        <w:vertAlign w:val="baseline"/>
      </w:rPr>
    </w:lvl>
    <w:lvl w:ilvl="3">
      <w:start w:val="1"/>
      <w:numFmt w:val="decimal"/>
      <w:lvlText w:val="(%4)"/>
      <w:lvlJc w:val="left"/>
      <w:pPr>
        <w:ind w:left="2880" w:hanging="360"/>
      </w:pPr>
      <w:rPr>
        <w:u w:val="none"/>
        <w:vertAlign w:val="baseline"/>
      </w:rPr>
    </w:lvl>
    <w:lvl w:ilvl="4">
      <w:start w:val="1"/>
      <w:numFmt w:val="lowerLetter"/>
      <w:lvlText w:val="(%5)"/>
      <w:lvlJc w:val="left"/>
      <w:pPr>
        <w:ind w:left="3600" w:hanging="360"/>
      </w:pPr>
      <w:rPr>
        <w:u w:val="none"/>
        <w:vertAlign w:val="baseline"/>
      </w:rPr>
    </w:lvl>
    <w:lvl w:ilvl="5">
      <w:start w:val="1"/>
      <w:numFmt w:val="lowerRoman"/>
      <w:lvlText w:val="(%6)"/>
      <w:lvlJc w:val="right"/>
      <w:pPr>
        <w:ind w:left="4320" w:hanging="360"/>
      </w:pPr>
      <w:rPr>
        <w:u w:val="none"/>
        <w:vertAlign w:val="baseline"/>
      </w:rPr>
    </w:lvl>
    <w:lvl w:ilvl="6">
      <w:start w:val="1"/>
      <w:numFmt w:val="decimal"/>
      <w:lvlText w:val="%7."/>
      <w:lvlJc w:val="left"/>
      <w:pPr>
        <w:ind w:left="5040" w:hanging="360"/>
      </w:pPr>
      <w:rPr>
        <w:u w:val="none"/>
        <w:vertAlign w:val="baseline"/>
      </w:rPr>
    </w:lvl>
    <w:lvl w:ilvl="7">
      <w:start w:val="1"/>
      <w:numFmt w:val="lowerLetter"/>
      <w:lvlText w:val="%8."/>
      <w:lvlJc w:val="left"/>
      <w:pPr>
        <w:ind w:left="5760" w:hanging="360"/>
      </w:pPr>
      <w:rPr>
        <w:u w:val="none"/>
        <w:vertAlign w:val="baseline"/>
      </w:rPr>
    </w:lvl>
    <w:lvl w:ilvl="8">
      <w:start w:val="1"/>
      <w:numFmt w:val="lowerRoman"/>
      <w:lvlText w:val="%9."/>
      <w:lvlJc w:val="right"/>
      <w:pPr>
        <w:ind w:left="6480" w:hanging="360"/>
      </w:pPr>
      <w:rPr>
        <w:u w:val="none"/>
        <w:vertAlign w:val="baseline"/>
      </w:rPr>
    </w:lvl>
  </w:abstractNum>
  <w:abstractNum w:abstractNumId="9" w15:restartNumberingAfterBreak="0">
    <w:nsid w:val="366158C2"/>
    <w:multiLevelType w:val="multilevel"/>
    <w:tmpl w:val="94040A3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0" w15:restartNumberingAfterBreak="0">
    <w:nsid w:val="3A052376"/>
    <w:multiLevelType w:val="multilevel"/>
    <w:tmpl w:val="3418EA2E"/>
    <w:lvl w:ilvl="0">
      <w:start w:val="1"/>
      <w:numFmt w:val="decimal"/>
      <w:lvlText w:val="%1)"/>
      <w:lvlJc w:val="left"/>
      <w:pPr>
        <w:ind w:left="778" w:hanging="360"/>
      </w:pPr>
      <w:rPr>
        <w:vertAlign w:val="baseline"/>
      </w:rPr>
    </w:lvl>
    <w:lvl w:ilvl="1">
      <w:start w:val="1"/>
      <w:numFmt w:val="lowerLetter"/>
      <w:lvlText w:val="%2."/>
      <w:lvlJc w:val="left"/>
      <w:pPr>
        <w:ind w:left="1498" w:hanging="360"/>
      </w:pPr>
      <w:rPr>
        <w:vertAlign w:val="baseline"/>
      </w:rPr>
    </w:lvl>
    <w:lvl w:ilvl="2">
      <w:start w:val="1"/>
      <w:numFmt w:val="lowerRoman"/>
      <w:lvlText w:val="%3."/>
      <w:lvlJc w:val="right"/>
      <w:pPr>
        <w:ind w:left="2218" w:hanging="180"/>
      </w:pPr>
      <w:rPr>
        <w:vertAlign w:val="baseline"/>
      </w:rPr>
    </w:lvl>
    <w:lvl w:ilvl="3">
      <w:start w:val="1"/>
      <w:numFmt w:val="decimal"/>
      <w:lvlText w:val="%4."/>
      <w:lvlJc w:val="left"/>
      <w:pPr>
        <w:ind w:left="2938" w:hanging="360"/>
      </w:pPr>
      <w:rPr>
        <w:vertAlign w:val="baseline"/>
      </w:rPr>
    </w:lvl>
    <w:lvl w:ilvl="4">
      <w:start w:val="1"/>
      <w:numFmt w:val="lowerLetter"/>
      <w:lvlText w:val="%5."/>
      <w:lvlJc w:val="left"/>
      <w:pPr>
        <w:ind w:left="3658" w:hanging="360"/>
      </w:pPr>
      <w:rPr>
        <w:vertAlign w:val="baseline"/>
      </w:rPr>
    </w:lvl>
    <w:lvl w:ilvl="5">
      <w:start w:val="1"/>
      <w:numFmt w:val="lowerRoman"/>
      <w:lvlText w:val="%6."/>
      <w:lvlJc w:val="right"/>
      <w:pPr>
        <w:ind w:left="4378" w:hanging="180"/>
      </w:pPr>
      <w:rPr>
        <w:vertAlign w:val="baseline"/>
      </w:rPr>
    </w:lvl>
    <w:lvl w:ilvl="6">
      <w:start w:val="1"/>
      <w:numFmt w:val="decimal"/>
      <w:lvlText w:val="%7."/>
      <w:lvlJc w:val="left"/>
      <w:pPr>
        <w:ind w:left="5098" w:hanging="360"/>
      </w:pPr>
      <w:rPr>
        <w:vertAlign w:val="baseline"/>
      </w:rPr>
    </w:lvl>
    <w:lvl w:ilvl="7">
      <w:start w:val="1"/>
      <w:numFmt w:val="lowerLetter"/>
      <w:lvlText w:val="%8."/>
      <w:lvlJc w:val="left"/>
      <w:pPr>
        <w:ind w:left="5818" w:hanging="360"/>
      </w:pPr>
      <w:rPr>
        <w:vertAlign w:val="baseline"/>
      </w:rPr>
    </w:lvl>
    <w:lvl w:ilvl="8">
      <w:start w:val="1"/>
      <w:numFmt w:val="lowerRoman"/>
      <w:lvlText w:val="%9."/>
      <w:lvlJc w:val="right"/>
      <w:pPr>
        <w:ind w:left="6538" w:hanging="180"/>
      </w:pPr>
      <w:rPr>
        <w:vertAlign w:val="baseline"/>
      </w:rPr>
    </w:lvl>
  </w:abstractNum>
  <w:abstractNum w:abstractNumId="11" w15:restartNumberingAfterBreak="0">
    <w:nsid w:val="3B3B12DA"/>
    <w:multiLevelType w:val="multilevel"/>
    <w:tmpl w:val="E4C2A87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3C49086C"/>
    <w:multiLevelType w:val="multilevel"/>
    <w:tmpl w:val="A804318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44AA797A"/>
    <w:multiLevelType w:val="multilevel"/>
    <w:tmpl w:val="21CE5680"/>
    <w:lvl w:ilvl="0">
      <w:start w:val="1"/>
      <w:numFmt w:val="bullet"/>
      <w:lvlText w:val="●"/>
      <w:lvlJc w:val="left"/>
      <w:pPr>
        <w:ind w:left="720" w:hanging="360"/>
      </w:pPr>
      <w:rPr>
        <w:rFonts w:ascii="Noto Sans Symbols" w:eastAsia="Noto Sans Symbols" w:hAnsi="Noto Sans Symbols" w:cs="Noto Sans Symbols"/>
        <w:sz w:val="20"/>
        <w:szCs w:val="20"/>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48FB0050"/>
    <w:multiLevelType w:val="multilevel"/>
    <w:tmpl w:val="70B44BF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5" w15:restartNumberingAfterBreak="0">
    <w:nsid w:val="49A50FEA"/>
    <w:multiLevelType w:val="multilevel"/>
    <w:tmpl w:val="5882ECD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6" w15:restartNumberingAfterBreak="0">
    <w:nsid w:val="49AC06D7"/>
    <w:multiLevelType w:val="multilevel"/>
    <w:tmpl w:val="351A821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7" w15:restartNumberingAfterBreak="0">
    <w:nsid w:val="4C022ED4"/>
    <w:multiLevelType w:val="multilevel"/>
    <w:tmpl w:val="83FCC5BE"/>
    <w:lvl w:ilvl="0">
      <w:numFmt w:val="bullet"/>
      <w:lvlText w:val="-"/>
      <w:lvlJc w:val="left"/>
      <w:pPr>
        <w:ind w:left="778" w:hanging="360"/>
      </w:pPr>
      <w:rPr>
        <w:rFonts w:ascii="Garamond" w:eastAsia="Garamond" w:hAnsi="Garamond" w:cs="Garamond"/>
        <w:b/>
        <w:bCs/>
        <w:i w:val="0"/>
        <w:iCs w:val="0"/>
        <w:sz w:val="24"/>
        <w:szCs w:val="24"/>
        <w:vertAlign w:val="baseline"/>
      </w:rPr>
    </w:lvl>
    <w:lvl w:ilvl="1">
      <w:start w:val="1"/>
      <w:numFmt w:val="bullet"/>
      <w:lvlText w:val="o"/>
      <w:lvlJc w:val="left"/>
      <w:pPr>
        <w:ind w:left="1498" w:hanging="360"/>
      </w:pPr>
      <w:rPr>
        <w:rFonts w:ascii="Courier New" w:eastAsia="Courier New" w:hAnsi="Courier New" w:cs="Courier New"/>
        <w:vertAlign w:val="baseline"/>
      </w:rPr>
    </w:lvl>
    <w:lvl w:ilvl="2">
      <w:start w:val="1"/>
      <w:numFmt w:val="bullet"/>
      <w:lvlText w:val="▪"/>
      <w:lvlJc w:val="left"/>
      <w:pPr>
        <w:ind w:left="2218" w:hanging="360"/>
      </w:pPr>
      <w:rPr>
        <w:rFonts w:ascii="Noto Sans Symbols" w:eastAsia="Noto Sans Symbols" w:hAnsi="Noto Sans Symbols" w:cs="Noto Sans Symbols"/>
        <w:vertAlign w:val="baseline"/>
      </w:rPr>
    </w:lvl>
    <w:lvl w:ilvl="3">
      <w:start w:val="1"/>
      <w:numFmt w:val="bullet"/>
      <w:lvlText w:val="●"/>
      <w:lvlJc w:val="left"/>
      <w:pPr>
        <w:ind w:left="2938" w:hanging="360"/>
      </w:pPr>
      <w:rPr>
        <w:rFonts w:ascii="Noto Sans Symbols" w:eastAsia="Noto Sans Symbols" w:hAnsi="Noto Sans Symbols" w:cs="Noto Sans Symbols"/>
        <w:vertAlign w:val="baseline"/>
      </w:rPr>
    </w:lvl>
    <w:lvl w:ilvl="4">
      <w:start w:val="1"/>
      <w:numFmt w:val="bullet"/>
      <w:lvlText w:val="o"/>
      <w:lvlJc w:val="left"/>
      <w:pPr>
        <w:ind w:left="3658" w:hanging="360"/>
      </w:pPr>
      <w:rPr>
        <w:rFonts w:ascii="Courier New" w:eastAsia="Courier New" w:hAnsi="Courier New" w:cs="Courier New"/>
        <w:vertAlign w:val="baseline"/>
      </w:rPr>
    </w:lvl>
    <w:lvl w:ilvl="5">
      <w:start w:val="1"/>
      <w:numFmt w:val="bullet"/>
      <w:lvlText w:val="▪"/>
      <w:lvlJc w:val="left"/>
      <w:pPr>
        <w:ind w:left="4378" w:hanging="360"/>
      </w:pPr>
      <w:rPr>
        <w:rFonts w:ascii="Noto Sans Symbols" w:eastAsia="Noto Sans Symbols" w:hAnsi="Noto Sans Symbols" w:cs="Noto Sans Symbols"/>
        <w:vertAlign w:val="baseline"/>
      </w:rPr>
    </w:lvl>
    <w:lvl w:ilvl="6">
      <w:start w:val="1"/>
      <w:numFmt w:val="bullet"/>
      <w:lvlText w:val="●"/>
      <w:lvlJc w:val="left"/>
      <w:pPr>
        <w:ind w:left="5098" w:hanging="360"/>
      </w:pPr>
      <w:rPr>
        <w:rFonts w:ascii="Noto Sans Symbols" w:eastAsia="Noto Sans Symbols" w:hAnsi="Noto Sans Symbols" w:cs="Noto Sans Symbols"/>
        <w:vertAlign w:val="baseline"/>
      </w:rPr>
    </w:lvl>
    <w:lvl w:ilvl="7">
      <w:start w:val="1"/>
      <w:numFmt w:val="bullet"/>
      <w:lvlText w:val="o"/>
      <w:lvlJc w:val="left"/>
      <w:pPr>
        <w:ind w:left="5818" w:hanging="360"/>
      </w:pPr>
      <w:rPr>
        <w:rFonts w:ascii="Courier New" w:eastAsia="Courier New" w:hAnsi="Courier New" w:cs="Courier New"/>
        <w:vertAlign w:val="baseline"/>
      </w:rPr>
    </w:lvl>
    <w:lvl w:ilvl="8">
      <w:start w:val="1"/>
      <w:numFmt w:val="bullet"/>
      <w:lvlText w:val="▪"/>
      <w:lvlJc w:val="left"/>
      <w:pPr>
        <w:ind w:left="6538" w:hanging="360"/>
      </w:pPr>
      <w:rPr>
        <w:rFonts w:ascii="Noto Sans Symbols" w:eastAsia="Noto Sans Symbols" w:hAnsi="Noto Sans Symbols" w:cs="Noto Sans Symbols"/>
        <w:vertAlign w:val="baseline"/>
      </w:rPr>
    </w:lvl>
  </w:abstractNum>
  <w:abstractNum w:abstractNumId="18" w15:restartNumberingAfterBreak="0">
    <w:nsid w:val="4F397BAD"/>
    <w:multiLevelType w:val="multilevel"/>
    <w:tmpl w:val="FEB4ECDA"/>
    <w:lvl w:ilvl="0">
      <w:start w:val="1"/>
      <w:numFmt w:val="bullet"/>
      <w:lvlText w:val="⮚"/>
      <w:lvlJc w:val="left"/>
      <w:pPr>
        <w:ind w:left="397" w:hanging="397"/>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19" w15:restartNumberingAfterBreak="0">
    <w:nsid w:val="5429012B"/>
    <w:multiLevelType w:val="multilevel"/>
    <w:tmpl w:val="0E4CE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58AE5457"/>
    <w:multiLevelType w:val="multilevel"/>
    <w:tmpl w:val="CB2C15B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1" w15:restartNumberingAfterBreak="0">
    <w:nsid w:val="593630D7"/>
    <w:multiLevelType w:val="multilevel"/>
    <w:tmpl w:val="AA6A3586"/>
    <w:lvl w:ilvl="0">
      <w:start w:val="1"/>
      <w:numFmt w:val="decimal"/>
      <w:lvlText w:val="%1)"/>
      <w:lvlJc w:val="left"/>
      <w:pPr>
        <w:ind w:left="720" w:hanging="360"/>
      </w:pPr>
      <w:rPr>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2" w15:restartNumberingAfterBreak="0">
    <w:nsid w:val="5A971025"/>
    <w:multiLevelType w:val="multilevel"/>
    <w:tmpl w:val="122EEBEE"/>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3" w15:restartNumberingAfterBreak="0">
    <w:nsid w:val="60002A8B"/>
    <w:multiLevelType w:val="multilevel"/>
    <w:tmpl w:val="AEE4F754"/>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4" w15:restartNumberingAfterBreak="0">
    <w:nsid w:val="621870A7"/>
    <w:multiLevelType w:val="multilevel"/>
    <w:tmpl w:val="1F06A7B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5" w15:restartNumberingAfterBreak="0">
    <w:nsid w:val="6BB4379D"/>
    <w:multiLevelType w:val="multilevel"/>
    <w:tmpl w:val="76FC3B62"/>
    <w:lvl w:ilvl="0">
      <w:start w:val="1"/>
      <w:numFmt w:val="bullet"/>
      <w:lvlText w:val="✔"/>
      <w:lvlJc w:val="left"/>
      <w:pPr>
        <w:ind w:left="720" w:hanging="360"/>
      </w:pPr>
      <w:rPr>
        <w:rFonts w:ascii="Noto Sans Symbols" w:eastAsia="Noto Sans Symbols" w:hAnsi="Noto Sans Symbols" w:cs="Noto Sans Symbols"/>
        <w:vertAlign w:val="baseline"/>
      </w:rPr>
    </w:lvl>
    <w:lvl w:ilvl="1">
      <w:start w:val="3"/>
      <w:numFmt w:val="bullet"/>
      <w:lvlText w:val="•"/>
      <w:lvlJc w:val="left"/>
      <w:pPr>
        <w:ind w:left="1440" w:hanging="360"/>
      </w:pPr>
      <w:rPr>
        <w:rFonts w:ascii="Times New Roman" w:eastAsia="Times New Roman" w:hAnsi="Times New Roman" w:cs="Times New Roman"/>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26" w15:restartNumberingAfterBreak="0">
    <w:nsid w:val="7B2D510B"/>
    <w:multiLevelType w:val="multilevel"/>
    <w:tmpl w:val="9970EBD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7" w15:restartNumberingAfterBreak="0">
    <w:nsid w:val="7B681358"/>
    <w:multiLevelType w:val="multilevel"/>
    <w:tmpl w:val="A492F4E0"/>
    <w:lvl w:ilvl="0">
      <w:start w:val="1"/>
      <w:numFmt w:val="bullet"/>
      <w:lvlText w:val="●"/>
      <w:lvlJc w:val="left"/>
      <w:pPr>
        <w:ind w:left="720" w:hanging="360"/>
      </w:pPr>
      <w:rPr>
        <w:rFonts w:ascii="Noto Sans Symbols" w:eastAsia="Noto Sans Symbols" w:hAnsi="Noto Sans Symbols" w:cs="Noto Sans Symbols"/>
        <w:color w:val="000000"/>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decimal"/>
      <w:lvlText w:val="%3."/>
      <w:lvlJc w:val="left"/>
      <w:pPr>
        <w:ind w:left="2160" w:hanging="360"/>
      </w:pPr>
      <w:rPr>
        <w:vertAlign w:val="baseline"/>
      </w:rPr>
    </w:lvl>
    <w:lvl w:ilvl="3">
      <w:start w:val="1"/>
      <w:numFmt w:val="decimal"/>
      <w:lvlText w:val="%4."/>
      <w:lvlJc w:val="left"/>
      <w:pPr>
        <w:ind w:left="2880" w:hanging="360"/>
      </w:pPr>
      <w:rPr>
        <w:vertAlign w:val="baseline"/>
      </w:rPr>
    </w:lvl>
    <w:lvl w:ilvl="4">
      <w:start w:val="1"/>
      <w:numFmt w:val="decimal"/>
      <w:lvlText w:val="%5."/>
      <w:lvlJc w:val="left"/>
      <w:pPr>
        <w:ind w:left="3600" w:hanging="360"/>
      </w:pPr>
      <w:rPr>
        <w:vertAlign w:val="baseline"/>
      </w:rPr>
    </w:lvl>
    <w:lvl w:ilvl="5">
      <w:start w:val="1"/>
      <w:numFmt w:val="decimal"/>
      <w:lvlText w:val="%6."/>
      <w:lvlJc w:val="left"/>
      <w:pPr>
        <w:ind w:left="4320" w:hanging="360"/>
      </w:pPr>
      <w:rPr>
        <w:vertAlign w:val="baseline"/>
      </w:rPr>
    </w:lvl>
    <w:lvl w:ilvl="6">
      <w:start w:val="1"/>
      <w:numFmt w:val="decimal"/>
      <w:lvlText w:val="%7."/>
      <w:lvlJc w:val="left"/>
      <w:pPr>
        <w:ind w:left="5040" w:hanging="360"/>
      </w:pPr>
      <w:rPr>
        <w:vertAlign w:val="baseline"/>
      </w:rPr>
    </w:lvl>
    <w:lvl w:ilvl="7">
      <w:start w:val="1"/>
      <w:numFmt w:val="decimal"/>
      <w:lvlText w:val="%8."/>
      <w:lvlJc w:val="left"/>
      <w:pPr>
        <w:ind w:left="5760" w:hanging="360"/>
      </w:pPr>
      <w:rPr>
        <w:vertAlign w:val="baseline"/>
      </w:rPr>
    </w:lvl>
    <w:lvl w:ilvl="8">
      <w:start w:val="1"/>
      <w:numFmt w:val="decimal"/>
      <w:lvlText w:val="%9."/>
      <w:lvlJc w:val="left"/>
      <w:pPr>
        <w:ind w:left="6480" w:hanging="360"/>
      </w:pPr>
      <w:rPr>
        <w:vertAlign w:val="baseline"/>
      </w:rPr>
    </w:lvl>
  </w:abstractNum>
  <w:abstractNum w:abstractNumId="28" w15:restartNumberingAfterBreak="0">
    <w:nsid w:val="7BE97911"/>
    <w:multiLevelType w:val="multilevel"/>
    <w:tmpl w:val="91FAA6E2"/>
    <w:lvl w:ilvl="0">
      <w:numFmt w:val="bullet"/>
      <w:lvlText w:val="-"/>
      <w:lvlJc w:val="left"/>
      <w:pPr>
        <w:ind w:left="1428" w:hanging="360"/>
      </w:pPr>
      <w:rPr>
        <w:rFonts w:ascii="Arial" w:eastAsia="Arial" w:hAnsi="Arial" w:cs="Arial"/>
        <w:vertAlign w:val="baseline"/>
      </w:rPr>
    </w:lvl>
    <w:lvl w:ilvl="1">
      <w:start w:val="1"/>
      <w:numFmt w:val="bullet"/>
      <w:lvlText w:val="o"/>
      <w:lvlJc w:val="left"/>
      <w:pPr>
        <w:ind w:left="2148" w:hanging="360"/>
      </w:pPr>
      <w:rPr>
        <w:rFonts w:ascii="Courier New" w:eastAsia="Courier New" w:hAnsi="Courier New" w:cs="Courier New"/>
        <w:vertAlign w:val="baseline"/>
      </w:rPr>
    </w:lvl>
    <w:lvl w:ilvl="2">
      <w:start w:val="1"/>
      <w:numFmt w:val="bullet"/>
      <w:lvlText w:val="▪"/>
      <w:lvlJc w:val="left"/>
      <w:pPr>
        <w:ind w:left="2868" w:hanging="360"/>
      </w:pPr>
      <w:rPr>
        <w:rFonts w:ascii="Noto Sans Symbols" w:eastAsia="Noto Sans Symbols" w:hAnsi="Noto Sans Symbols" w:cs="Noto Sans Symbols"/>
        <w:vertAlign w:val="baseline"/>
      </w:rPr>
    </w:lvl>
    <w:lvl w:ilvl="3">
      <w:start w:val="1"/>
      <w:numFmt w:val="bullet"/>
      <w:lvlText w:val="●"/>
      <w:lvlJc w:val="left"/>
      <w:pPr>
        <w:ind w:left="3588" w:hanging="360"/>
      </w:pPr>
      <w:rPr>
        <w:rFonts w:ascii="Noto Sans Symbols" w:eastAsia="Noto Sans Symbols" w:hAnsi="Noto Sans Symbols" w:cs="Noto Sans Symbols"/>
        <w:vertAlign w:val="baseline"/>
      </w:rPr>
    </w:lvl>
    <w:lvl w:ilvl="4">
      <w:start w:val="1"/>
      <w:numFmt w:val="bullet"/>
      <w:lvlText w:val="o"/>
      <w:lvlJc w:val="left"/>
      <w:pPr>
        <w:ind w:left="4308" w:hanging="360"/>
      </w:pPr>
      <w:rPr>
        <w:rFonts w:ascii="Courier New" w:eastAsia="Courier New" w:hAnsi="Courier New" w:cs="Courier New"/>
        <w:vertAlign w:val="baseline"/>
      </w:rPr>
    </w:lvl>
    <w:lvl w:ilvl="5">
      <w:start w:val="1"/>
      <w:numFmt w:val="bullet"/>
      <w:lvlText w:val="▪"/>
      <w:lvlJc w:val="left"/>
      <w:pPr>
        <w:ind w:left="5028" w:hanging="360"/>
      </w:pPr>
      <w:rPr>
        <w:rFonts w:ascii="Noto Sans Symbols" w:eastAsia="Noto Sans Symbols" w:hAnsi="Noto Sans Symbols" w:cs="Noto Sans Symbols"/>
        <w:vertAlign w:val="baseline"/>
      </w:rPr>
    </w:lvl>
    <w:lvl w:ilvl="6">
      <w:start w:val="1"/>
      <w:numFmt w:val="bullet"/>
      <w:lvlText w:val="●"/>
      <w:lvlJc w:val="left"/>
      <w:pPr>
        <w:ind w:left="5748" w:hanging="360"/>
      </w:pPr>
      <w:rPr>
        <w:rFonts w:ascii="Noto Sans Symbols" w:eastAsia="Noto Sans Symbols" w:hAnsi="Noto Sans Symbols" w:cs="Noto Sans Symbols"/>
        <w:vertAlign w:val="baseline"/>
      </w:rPr>
    </w:lvl>
    <w:lvl w:ilvl="7">
      <w:start w:val="1"/>
      <w:numFmt w:val="bullet"/>
      <w:lvlText w:val="o"/>
      <w:lvlJc w:val="left"/>
      <w:pPr>
        <w:ind w:left="6468" w:hanging="360"/>
      </w:pPr>
      <w:rPr>
        <w:rFonts w:ascii="Courier New" w:eastAsia="Courier New" w:hAnsi="Courier New" w:cs="Courier New"/>
        <w:vertAlign w:val="baseline"/>
      </w:rPr>
    </w:lvl>
    <w:lvl w:ilvl="8">
      <w:start w:val="1"/>
      <w:numFmt w:val="bullet"/>
      <w:lvlText w:val="▪"/>
      <w:lvlJc w:val="left"/>
      <w:pPr>
        <w:ind w:left="7188" w:hanging="360"/>
      </w:pPr>
      <w:rPr>
        <w:rFonts w:ascii="Noto Sans Symbols" w:eastAsia="Noto Sans Symbols" w:hAnsi="Noto Sans Symbols" w:cs="Noto Sans Symbols"/>
        <w:vertAlign w:val="baseline"/>
      </w:rPr>
    </w:lvl>
  </w:abstractNum>
  <w:abstractNum w:abstractNumId="29" w15:restartNumberingAfterBreak="0">
    <w:nsid w:val="7D993740"/>
    <w:multiLevelType w:val="multilevel"/>
    <w:tmpl w:val="B0FE81A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22"/>
  </w:num>
  <w:num w:numId="2">
    <w:abstractNumId w:val="23"/>
  </w:num>
  <w:num w:numId="3">
    <w:abstractNumId w:val="28"/>
  </w:num>
  <w:num w:numId="4">
    <w:abstractNumId w:val="17"/>
  </w:num>
  <w:num w:numId="5">
    <w:abstractNumId w:val="20"/>
  </w:num>
  <w:num w:numId="6">
    <w:abstractNumId w:val="24"/>
  </w:num>
  <w:num w:numId="7">
    <w:abstractNumId w:val="10"/>
  </w:num>
  <w:num w:numId="8">
    <w:abstractNumId w:val="13"/>
  </w:num>
  <w:num w:numId="9">
    <w:abstractNumId w:val="26"/>
  </w:num>
  <w:num w:numId="10">
    <w:abstractNumId w:val="8"/>
  </w:num>
  <w:num w:numId="11">
    <w:abstractNumId w:val="9"/>
  </w:num>
  <w:num w:numId="12">
    <w:abstractNumId w:val="6"/>
  </w:num>
  <w:num w:numId="13">
    <w:abstractNumId w:val="4"/>
  </w:num>
  <w:num w:numId="14">
    <w:abstractNumId w:val="2"/>
  </w:num>
  <w:num w:numId="15">
    <w:abstractNumId w:val="3"/>
  </w:num>
  <w:num w:numId="16">
    <w:abstractNumId w:val="14"/>
  </w:num>
  <w:num w:numId="17">
    <w:abstractNumId w:val="5"/>
  </w:num>
  <w:num w:numId="18">
    <w:abstractNumId w:val="16"/>
  </w:num>
  <w:num w:numId="19">
    <w:abstractNumId w:val="0"/>
  </w:num>
  <w:num w:numId="20">
    <w:abstractNumId w:val="7"/>
  </w:num>
  <w:num w:numId="21">
    <w:abstractNumId w:val="15"/>
  </w:num>
  <w:num w:numId="22">
    <w:abstractNumId w:val="19"/>
  </w:num>
  <w:num w:numId="23">
    <w:abstractNumId w:val="29"/>
  </w:num>
  <w:num w:numId="24">
    <w:abstractNumId w:val="1"/>
  </w:num>
  <w:num w:numId="25">
    <w:abstractNumId w:val="12"/>
  </w:num>
  <w:num w:numId="26">
    <w:abstractNumId w:val="11"/>
  </w:num>
  <w:num w:numId="27">
    <w:abstractNumId w:val="25"/>
  </w:num>
  <w:num w:numId="28">
    <w:abstractNumId w:val="21"/>
  </w:num>
  <w:num w:numId="29">
    <w:abstractNumId w:val="18"/>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5EFA"/>
    <w:rsid w:val="00020EF9"/>
    <w:rsid w:val="000575CD"/>
    <w:rsid w:val="00065EFA"/>
    <w:rsid w:val="000D2BC3"/>
    <w:rsid w:val="003B45CC"/>
    <w:rsid w:val="0045300E"/>
    <w:rsid w:val="00464456"/>
    <w:rsid w:val="005924C0"/>
    <w:rsid w:val="005A32AC"/>
    <w:rsid w:val="00A73CA4"/>
    <w:rsid w:val="00C050BD"/>
    <w:rsid w:val="00D54EE1"/>
    <w:rsid w:val="00DD2CEA"/>
    <w:rsid w:val="00E326C1"/>
    <w:rsid w:val="00EC217D"/>
    <w:rsid w:val="00FE3DB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B8E723"/>
  <w15:docId w15:val="{7957CA6E-692B-4A40-BD8E-AA4C30A2C3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it" w:eastAsia="it-IT"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80" w:after="120"/>
      <w:outlineLvl w:val="0"/>
    </w:pPr>
    <w:rPr>
      <w:b/>
      <w:bCs/>
      <w:sz w:val="48"/>
      <w:szCs w:val="48"/>
    </w:rPr>
  </w:style>
  <w:style w:type="paragraph" w:styleId="Titolo2">
    <w:name w:val="heading 2"/>
    <w:basedOn w:val="Normale"/>
    <w:next w:val="Normale"/>
    <w:uiPriority w:val="9"/>
    <w:semiHidden/>
    <w:unhideWhenUsed/>
    <w:qFormat/>
    <w:pPr>
      <w:keepNext/>
      <w:keepLines/>
      <w:spacing w:before="360" w:after="80"/>
      <w:outlineLvl w:val="1"/>
    </w:pPr>
    <w:rPr>
      <w:b/>
      <w:bCs/>
      <w:sz w:val="36"/>
      <w:szCs w:val="36"/>
    </w:rPr>
  </w:style>
  <w:style w:type="paragraph" w:styleId="Titolo3">
    <w:name w:val="heading 3"/>
    <w:basedOn w:val="Normale"/>
    <w:next w:val="Normale"/>
    <w:uiPriority w:val="9"/>
    <w:semiHidden/>
    <w:unhideWhenUsed/>
    <w:qFormat/>
    <w:pPr>
      <w:keepNext/>
      <w:keepLines/>
      <w:spacing w:before="280" w:after="80"/>
      <w:outlineLvl w:val="2"/>
    </w:pPr>
    <w:rPr>
      <w:b/>
      <w:bCs/>
      <w:sz w:val="28"/>
      <w:szCs w:val="28"/>
    </w:rPr>
  </w:style>
  <w:style w:type="paragraph" w:styleId="Titolo4">
    <w:name w:val="heading 4"/>
    <w:basedOn w:val="Normale"/>
    <w:next w:val="Normale"/>
    <w:uiPriority w:val="9"/>
    <w:semiHidden/>
    <w:unhideWhenUsed/>
    <w:qFormat/>
    <w:pPr>
      <w:keepNext/>
      <w:keepLines/>
      <w:spacing w:before="240" w:after="40"/>
      <w:outlineLvl w:val="3"/>
    </w:pPr>
    <w:rPr>
      <w:b/>
      <w:bCs/>
      <w:sz w:val="24"/>
      <w:szCs w:val="24"/>
    </w:rPr>
  </w:style>
  <w:style w:type="paragraph" w:styleId="Titolo5">
    <w:name w:val="heading 5"/>
    <w:basedOn w:val="Normale"/>
    <w:next w:val="Normale"/>
    <w:uiPriority w:val="9"/>
    <w:semiHidden/>
    <w:unhideWhenUsed/>
    <w:qFormat/>
    <w:pPr>
      <w:keepNext/>
      <w:keepLines/>
      <w:spacing w:before="220" w:after="40"/>
      <w:outlineLvl w:val="4"/>
    </w:pPr>
    <w:rPr>
      <w:b/>
      <w:bCs/>
      <w:sz w:val="22"/>
      <w:szCs w:val="22"/>
    </w:rPr>
  </w:style>
  <w:style w:type="paragraph" w:styleId="Titolo6">
    <w:name w:val="heading 6"/>
    <w:basedOn w:val="Normale"/>
    <w:next w:val="Normale"/>
    <w:uiPriority w:val="9"/>
    <w:semiHidden/>
    <w:unhideWhenUsed/>
    <w:qFormat/>
    <w:pPr>
      <w:keepNext/>
      <w:keepLines/>
      <w:spacing w:before="200" w:after="40"/>
      <w:outlineLvl w:val="5"/>
    </w:pPr>
    <w:rPr>
      <w:b/>
      <w:bC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08" w:type="dxa"/>
        <w:bottom w:w="0" w:type="dxa"/>
        <w:right w:w="108" w:type="dxa"/>
      </w:tblCellMar>
    </w:tblPr>
  </w:style>
  <w:style w:type="table" w:customStyle="1" w:styleId="a2">
    <w:basedOn w:val="TableNormal0"/>
    <w:tblPr>
      <w:tblStyleRowBandSize w:val="1"/>
      <w:tblStyleColBandSize w:val="1"/>
      <w:tblCellMar>
        <w:top w:w="0" w:type="dxa"/>
        <w:left w:w="108" w:type="dxa"/>
        <w:bottom w:w="0" w:type="dxa"/>
        <w:right w:w="108" w:type="dxa"/>
      </w:tblCellMar>
    </w:tblPr>
  </w:style>
  <w:style w:type="table" w:customStyle="1" w:styleId="a3">
    <w:basedOn w:val="TableNormal0"/>
    <w:tblPr>
      <w:tblStyleRowBandSize w:val="1"/>
      <w:tblStyleColBandSize w:val="1"/>
      <w:tblCellMar>
        <w:top w:w="0" w:type="dxa"/>
        <w:left w:w="108" w:type="dxa"/>
        <w:bottom w:w="0" w:type="dxa"/>
        <w:right w:w="108" w:type="dxa"/>
      </w:tblCellMar>
    </w:tblPr>
  </w:style>
  <w:style w:type="table" w:customStyle="1" w:styleId="a4">
    <w:basedOn w:val="TableNormal0"/>
    <w:tblPr>
      <w:tblStyleRowBandSize w:val="1"/>
      <w:tblStyleColBandSize w:val="1"/>
      <w:tblCellMar>
        <w:top w:w="0" w:type="dxa"/>
        <w:left w:w="70" w:type="dxa"/>
        <w:bottom w:w="0" w:type="dxa"/>
        <w:right w:w="70" w:type="dxa"/>
      </w:tblCellMar>
    </w:tblPr>
  </w:style>
  <w:style w:type="paragraph" w:styleId="Testocommento">
    <w:name w:val="annotation text"/>
    <w:link w:val="TestocommentoCarattere"/>
    <w:uiPriority w:val="99"/>
    <w:semiHidden/>
    <w:unhideWhenUsed/>
  </w:style>
  <w:style w:type="character" w:customStyle="1" w:styleId="TestocommentoCarattere">
    <w:name w:val="Testo commento Carattere"/>
    <w:basedOn w:val="Carpredefinitoparagrafo"/>
    <w:link w:val="Testocommento"/>
    <w:uiPriority w:val="99"/>
    <w:semiHidden/>
  </w:style>
  <w:style w:type="character" w:styleId="Rimandocommento">
    <w:name w:val="annotation reference"/>
    <w:basedOn w:val="Carpredefinitoparagrafo"/>
    <w:uiPriority w:val="99"/>
    <w:semiHidden/>
    <w:unhideWhenUsed/>
    <w:rPr>
      <w:sz w:val="16"/>
      <w:szCs w:val="16"/>
    </w:rPr>
  </w:style>
  <w:style w:type="paragraph" w:styleId="Testofumetto">
    <w:name w:val="Balloon Text"/>
    <w:link w:val="TestofumettoCarattere"/>
    <w:uiPriority w:val="99"/>
    <w:semiHidden/>
    <w:unhideWhenUsed/>
    <w:rsid w:val="00490C18"/>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490C18"/>
    <w:rPr>
      <w:rFonts w:ascii="Segoe UI" w:hAnsi="Segoe UI" w:cs="Segoe UI"/>
      <w:sz w:val="18"/>
      <w:szCs w:val="18"/>
    </w:rPr>
  </w:style>
  <w:style w:type="paragraph" w:styleId="NormaleWeb">
    <w:name w:val="Normal (Web)"/>
    <w:uiPriority w:val="99"/>
    <w:unhideWhenUsed/>
    <w:rsid w:val="004415C9"/>
    <w:pPr>
      <w:spacing w:before="100" w:beforeAutospacing="1" w:after="100" w:afterAutospacing="1"/>
    </w:pPr>
    <w:rPr>
      <w:sz w:val="24"/>
      <w:szCs w:val="24"/>
      <w:lang w:val="it-IT"/>
    </w:rPr>
  </w:style>
  <w:style w:type="paragraph" w:styleId="Intestazione">
    <w:name w:val="header"/>
    <w:link w:val="IntestazioneCarattere"/>
    <w:uiPriority w:val="99"/>
    <w:unhideWhenUsed/>
    <w:rsid w:val="004B1DEE"/>
    <w:pPr>
      <w:tabs>
        <w:tab w:val="center" w:pos="4819"/>
        <w:tab w:val="right" w:pos="9638"/>
      </w:tabs>
    </w:pPr>
  </w:style>
  <w:style w:type="character" w:customStyle="1" w:styleId="IntestazioneCarattere">
    <w:name w:val="Intestazione Carattere"/>
    <w:basedOn w:val="Carpredefinitoparagrafo"/>
    <w:link w:val="Intestazione"/>
    <w:uiPriority w:val="99"/>
    <w:rsid w:val="004B1DEE"/>
  </w:style>
  <w:style w:type="paragraph" w:styleId="Pidipagina">
    <w:name w:val="footer"/>
    <w:link w:val="PidipaginaCarattere"/>
    <w:uiPriority w:val="99"/>
    <w:unhideWhenUsed/>
    <w:rsid w:val="004B1DEE"/>
    <w:pPr>
      <w:tabs>
        <w:tab w:val="center" w:pos="4819"/>
        <w:tab w:val="right" w:pos="9638"/>
      </w:tabs>
    </w:pPr>
  </w:style>
  <w:style w:type="character" w:customStyle="1" w:styleId="PidipaginaCarattere">
    <w:name w:val="Piè di pagina Carattere"/>
    <w:basedOn w:val="Carpredefinitoparagrafo"/>
    <w:link w:val="Pidipagina"/>
    <w:uiPriority w:val="99"/>
    <w:rsid w:val="004B1DEE"/>
  </w:style>
  <w:style w:type="paragraph" w:styleId="Paragrafoelenco">
    <w:name w:val="List Paragraph"/>
    <w:uiPriority w:val="34"/>
    <w:qFormat/>
    <w:rsid w:val="004B1DEE"/>
    <w:pPr>
      <w:ind w:left="720"/>
      <w:contextualSpacing/>
    </w:pPr>
    <w:rPr>
      <w:rFonts w:ascii="Times" w:eastAsia="Times" w:hAnsi="Times" w:cs="Times"/>
      <w:sz w:val="24"/>
      <w:szCs w:val="24"/>
      <w:lang w:val="it-IT"/>
    </w:rPr>
  </w:style>
  <w:style w:type="paragraph" w:styleId="Sottotitolo">
    <w:name w:val="Subtitle"/>
    <w:basedOn w:val="Normale"/>
    <w:next w:val="Normale"/>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08" w:type="dxa"/>
        <w:bottom w:w="0" w:type="dxa"/>
        <w:right w:w="108" w:type="dxa"/>
      </w:tblCellMar>
    </w:tblPr>
  </w:style>
  <w:style w:type="table" w:customStyle="1" w:styleId="a8">
    <w:basedOn w:val="TableNormal0"/>
    <w:tblPr>
      <w:tblStyleRowBandSize w:val="1"/>
      <w:tblStyleColBandSize w:val="1"/>
      <w:tblCellMar>
        <w:top w:w="0" w:type="dxa"/>
        <w:left w:w="108" w:type="dxa"/>
        <w:bottom w:w="0" w:type="dxa"/>
        <w:right w:w="108"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yperlink" Target="http://www.fatturapa.gov.it/"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indicepa.gov.it"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udMHzV13D9TqrZ9XJoHR/CH7SA==">CgMxLjAyDmguZWg5YXpvN2g5eTViMg5oLmw3bjJseHVmdzUydjIIaC5namRneHMyDmgudnFkeTVjNmxtNzRjMg5oLnc3M2Zhb2N5b3AwbTIOaC52ZXg0MHRjNG5qOWIyDmgubnp4NXBndWFsaDV5Mg5oLjdkbHlmeGh4cnozNzIOaC41bHkzbWt0dHJtdmcyDmguM3lyenh2cDYyY244Mg5oLjdkaTBjaHVtYWIxeTIOaC5oaTF6MWhlMm1odzgyDmguN3o1OXBvdmxob21tMg5oLmljcmhmZ2UwcW1laTIOaC5vc2FxbXNmMnBqaXUyDmguc2UzMmJ0Z20xemZxMg5oLnM3NDc2MXpoMnZiYTIOaC5wbjF2bzVsb2luZGM4AHIhMVdpUlZMZlNjYVp0aFNzY3gxUmw2aW50RHV1Z1NXMHlj</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95</TotalTime>
  <Pages>30</Pages>
  <Words>16629</Words>
  <Characters>94787</Characters>
  <Application>Microsoft Office Word</Application>
  <DocSecurity>0</DocSecurity>
  <Lines>789</Lines>
  <Paragraphs>222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111194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 Favara</dc:creator>
  <cp:lastModifiedBy>Marina Favara</cp:lastModifiedBy>
  <cp:revision>5</cp:revision>
  <dcterms:created xsi:type="dcterms:W3CDTF">2026-01-14T09:28:00Z</dcterms:created>
  <dcterms:modified xsi:type="dcterms:W3CDTF">2026-01-26T11:32:00Z</dcterms:modified>
</cp:coreProperties>
</file>